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PATTERN</w:t>
      </w:r>
      <w:bookmarkEnd w:id="0"/>
    </w:p>
    <w:p>
      <w:pPr/>
      <w:r>
        <w:rPr>
          <w:color w:val="5B6577"/>
        </w:rPr>
        <w:t xml:space="preserve">GRF133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Klasik desen kompozisyon bilgilerinin verilerek, nesne ve figür çiziminin uygulanması.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Figür ve nesne çiziminin, klasik desen ve kompozisyon bilgileri ile uygulanması. Canlı modelden, doğadan, nesne ve varlıklardan çeşitli gereçlerle, düzeye uygun etüt, araştırma ve eskiz çalışmaları yapılması.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Barber, Barrington. “Her Yönüyle Çizimin Temelleri”. Alfa Basım Yayım Dağıtım. İstanbul, 2009.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Modelden figür çizimi gerçekleştirir</w:t>
      </w:r>
    </w:p>
    <w:p>
      <w:pPr>
        <w:spacing w:after="60"/>
      </w:pPr>
      <w:r>
        <w:rPr/>
        <w:t xml:space="preserve">2. Kompozisyonla ilgili taslak hazırlar</w:t>
      </w:r>
    </w:p>
    <w:p>
      <w:pPr>
        <w:spacing w:after="60"/>
      </w:pPr>
      <w:r>
        <w:rPr/>
        <w:t xml:space="preserve">3. Oran orantıyı kullanır</w:t>
      </w:r>
    </w:p>
    <w:p>
      <w:pPr>
        <w:spacing w:after="60"/>
      </w:pPr>
      <w:r>
        <w:rPr/>
        <w:t xml:space="preserve">4. Form ve planları uygular</w:t>
      </w:r>
    </w:p>
    <w:p>
      <w:pPr>
        <w:spacing w:after="60"/>
      </w:pPr>
      <w:r>
        <w:rPr/>
        <w:t xml:space="preserve">5. Çizim tekniklerini kullanır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Komposizyon Tekniklerine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Figürasyona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Figür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Oran-orantı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Komposizyon Tekniklerinin Öğretimi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Figürasyon Tekniklerinin Öğretimi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Oran-orantı Kapsamında Yerleştirme Tekniklerinin Öğretimi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Öğrenci Komposizyon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Öğrenci Komposizyon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Öğrenci Figürasyon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Öğrenci Figürasyon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Öğrenci Figürasyon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Değer ve Plan Tekniklerinin Öğretimi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Öğrenci Değer ve Plan  Çalışmalarının Eleştirilmesi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Ödev Problemleri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2026-10-26T19:44:06+03:00</dcterms:created>
  <dcterms:modified xsi:type="dcterms:W3CDTF">2026-10-26T19:44:06+03:00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