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Civil Engineering Doctoral Programme</w:t>
      </w:r>
      <w:bookmarkEnd w:id="0"/>
    </w:p>
    <w:p>
      <w:pPr/>
      <w:r>
        <w:rPr>
          <w:color w:val="5B6577"/>
        </w:rPr>
        <w:t xml:space="preserve">Graduate Education Institute · Doctorate · Bologna course information package · inşaat mühendisliği doktora</w:t>
      </w:r>
    </w:p>
    <w:p>
      <w:pPr>
        <w:pStyle w:val="Heading2"/>
      </w:pPr>
      <w:bookmarkStart w:id="1" w:name="_Toc1"/>
      <w:r>
        <w:t>Program overview</w:t>
      </w:r>
      <w:bookmarkEnd w:id="1"/>
    </w:p>
    <w:p>
      <w:pPr>
        <w:spacing w:before="120"/>
      </w:pPr>
      <w:r>
        <w:rPr>
          <w:b w:val="1"/>
          <w:bCs w:val="1"/>
        </w:rPr>
        <w:t xml:space="preserve">Kuruluş</w:t>
      </w:r>
    </w:p>
    <w:p>
      <w:pPr/>
      <w:r>
        <w:rPr/>
        <w:t xml:space="preserve">İnşaat Mühendisliği Anabilim Dalı Doktora Programı 2023-2024 Güz döneminde öğrenci kabulüne başlamıştır.</w:t>
      </w:r>
    </w:p>
    <w:p>
      <w:pPr>
        <w:spacing w:before="120"/>
      </w:pPr>
      <w:r>
        <w:rPr>
          <w:b w:val="1"/>
          <w:bCs w:val="1"/>
        </w:rPr>
        <w:t xml:space="preserve">Kazanılan Derece</w:t>
      </w:r>
    </w:p>
    <w:p>
      <w:pPr/>
      <w:r>
        <w:rPr/>
        <w:t xml:space="preserve">Mezunlara İnşaat Mühendisliği Alanında Doktora derecesi verilir.</w:t>
      </w:r>
    </w:p>
    <w:p>
      <w:pPr>
        <w:spacing w:before="120"/>
      </w:pPr>
      <w:r>
        <w:rPr>
          <w:b w:val="1"/>
          <w:bCs w:val="1"/>
        </w:rPr>
        <w:t xml:space="preserve">Derecenin Düzeyi (Ön Lisans , Lisans, Yüksek Lisans, Doktora)</w:t>
      </w:r>
    </w:p>
    <w:p>
      <w:pPr/>
      <w:r>
        <w:rPr/>
        <w:t xml:space="preserve">Doktora</w:t>
      </w:r>
    </w:p>
    <w:p>
      <w:pPr>
        <w:spacing w:before="120"/>
      </w:pPr>
      <w:r>
        <w:rPr>
          <w:b w:val="1"/>
          <w:bCs w:val="1"/>
        </w:rPr>
        <w:t xml:space="preserve">Kabul ve Kayıt Koşulları</w:t>
      </w:r>
    </w:p>
    <w:p>
      <w:pPr/>
      <w:r>
        <w:rPr/>
        <w:t xml:space="preserve">İnşaat Mühendisliği Doktora Programına başvurabilmek için adayların ilgili alanda tezli yüksek lisans diplomasına sahip olmaları ve yüksek lisans diploma puanının 4 üzerinden en az 3 olması gerekmektedir . Adayların, başvurduğu programın puan türünde en az 55 ALES puanına sahip olmaları ve Yükseköğretim Kurulu tarafından kabul edilen merkezi yabancı dil sınavlarından en az 55 puan veya eşdeğerliği kabul edilen uluslararası yabancı dil sınavlarından eşdeğer bir puan almaları zorunludur.</w:t>
      </w:r>
    </w:p>
    <w:p>
      <w:pPr>
        <w:spacing w:before="120"/>
      </w:pPr>
      <w:r>
        <w:rPr>
          <w:b w:val="1"/>
          <w:bCs w:val="1"/>
        </w:rPr>
        <w:t xml:space="preserve">Önceki Öğrenmenin Tanınması</w:t>
      </w:r>
    </w:p>
    <w:p>
      <w:pPr/>
      <w:r>
        <w:rPr/>
        <w:t xml:space="preserve">Lisansüstü giriş sınavlarında başarılı olarak kesin kayıt yaptıran öğrenciler ile yatay geçiş yoluyla kayıt yaptıran öğrencilerin diğer enstitülerdeki öğrenimleri sırasında aldıkları derslerden muafiyet talepleri Toros Üniversitesi Muafiyet ve İntibak Yönergesi hükümlerine göre ilgili birim tarafından değerlendirilmektedir.</w:t>
      </w:r>
    </w:p>
    <w:p>
      <w:pPr>
        <w:spacing w:before="120"/>
      </w:pPr>
      <w:r>
        <w:rPr>
          <w:b w:val="1"/>
          <w:bCs w:val="1"/>
        </w:rPr>
        <w:t xml:space="preserve">Yeterlilik Koşulları ve Kuralları</w:t>
      </w:r>
    </w:p>
    <w:p>
      <w:pPr/>
      <w:r>
        <w:rPr/>
        <w:t xml:space="preserve">Doktora programı; yüksek lisans derecesi ile başvuranlar için en az yedi ders, bir seminer dersi, yeterlik sınavı, tez önerisi, tez çalışması ve tez savunmasından oluşur. Toplam AKTS kredisi 240'tan az olamaz. Programı tamamlama süresi yüksek lisans derecesiyle kabul edilenler için sekiz yarıyıl, azami süre ise on iki yarıyıldır. Derslerini tamamlayan öğrenci doktora yeterlik sınavına girer; başarılı olan öğrenci Tez İzleme Komitesi (TİK) oluşturarak tez önerisi savunmasına tabi tutulur ve tez çalışmasını bu komitenin izlemesinde yürütür.
Doktora tezi, jüri önünde savunulur. Jüri; biri öğrencinin danışmanı, en az ikisi kendi yükseköğretim kurumu dışından olmak üzere beş öğretim üyesinden oluşur. Tez savunması başarıyla tamamlanan ve tezi şekil yönünden uygun bulunan öğrenciye İnşaat Mühendisliği Anabilim Dalında Doktora diploması verilir.</w:t>
      </w:r>
    </w:p>
    <w:p>
      <w:pPr>
        <w:spacing w:before="120"/>
      </w:pPr>
      <w:r>
        <w:rPr>
          <w:b w:val="1"/>
          <w:bCs w:val="1"/>
        </w:rPr>
        <w:t xml:space="preserve">Program Profili</w:t>
      </w:r>
    </w:p>
    <w:p>
      <w:pPr/>
      <w:r>
        <w:rPr/>
        <w:t xml:space="preserve">İnşaat Mühendisliği Doktora Programı; yapı, geoteknik, hidrolik, ulaştırma, yapı malzemeleri ve yapım yönetimi gibi inşaat mühendisliğinin temel alanlarında ileri düzey bilgi birikimine sahip, bilimsel araştırma yapabilen, özgün sonuçlar üretebilen ve disipline yenilikçi katkılar sunabilen araştırmacılar yetiştirmeyi amaçlamaktadır.
Program kapsamında öğrencilerin bilimsel araştırma yöntemlerini etkin biçimde kullanmaları, karmaşık mühendislik problemlerine özgün çözümler geliştirmeleri, ulusal ve uluslararası düzeyde akademik çalışmalar yürütebilmeleri ve etik değerlere uygun bilimsel üretim gerçekleştirmeleri hedeflenmektedir.</w:t>
      </w:r>
    </w:p>
    <w:p>
      <w:pPr>
        <w:spacing w:before="120"/>
      </w:pPr>
      <w:r>
        <w:rPr>
          <w:b w:val="1"/>
          <w:bCs w:val="1"/>
        </w:rPr>
        <w:t xml:space="preserve">İstihdam Olanakları</w:t>
      </w:r>
    </w:p>
    <w:p>
      <w:pPr/>
      <w:r>
        <w:rPr/>
        <w:t xml:space="preserve">Doktora programı; akademik kariyer hedefleyen araştırmacıların yanı sıra kamu kurumları, özel sektör, araştırma-geliştirme merkezleri ve mühendislik uygulama alanlarında uzmanlaşmak isteyen bireylerin ileri düzey bilgi ve beceri kazanmalarını desteklemektedir.</w:t>
      </w:r>
    </w:p>
    <w:p>
      <w:pPr>
        <w:spacing w:before="120"/>
      </w:pPr>
      <w:r>
        <w:rPr>
          <w:b w:val="1"/>
          <w:bCs w:val="1"/>
        </w:rPr>
        <w:t xml:space="preserve">Üst Derece Programlarına Geçit</w:t>
      </w:r>
    </w:p>
    <w:p>
      <w:pPr/>
      <w:r>
        <w:rPr/>
        <w:t xml:space="preserve">Bu programdan mezun olan öğrenciler, doktora sonrası araştırma programlarına ve akademik kariyer süreçlerine devam edebilirler.</w:t>
      </w:r>
    </w:p>
    <w:p>
      <w:pPr>
        <w:spacing w:before="120"/>
      </w:pPr>
      <w:r>
        <w:rPr>
          <w:b w:val="1"/>
          <w:bCs w:val="1"/>
        </w:rPr>
        <w:t xml:space="preserve">Sınavlar, Ölçme ve Değerlendirme</w:t>
      </w:r>
    </w:p>
    <w:p>
      <w:pPr/>
      <w:r>
        <w:rPr/>
        <w:t xml:space="preserve">1)Bir dersteki başarı durumu ders başarı notu ile belirlenir. Ders başarı notu, öğrencinin yarıyıl içinde ara sınavlar, uygulamalı çalışmalar, ödevler gibi çalışmalarda gösterdiği başarı ve yarıyıl sınavının birlikte değerlendirilmesi ile elde edilir. Ara sınavın veya bu sınav yerine sayılan ödevlerin %40’ı ve yarıyıl sınav puanının da %60'ı toplanmak suretiyle öğrencinin başarı notu hesaplanır. Bu notun 100.0 üzerinden en az 65.0 olması gerekir. 2) Örgün lisansüstü öğretimde teorik ve uygulamalı derslere devam zorunludur. Teorik ve uygulamalı derslerin %20'sinden fazlasına devam etmeyen öğrenci, o ders ya da derslerin yarıyıl sonu genel sınavlarına alınmaz ve öğrenciye F1 notu verilir.</w:t>
      </w:r>
    </w:p>
    <w:p>
      <w:pPr>
        <w:spacing w:before="120"/>
      </w:pPr>
      <w:r>
        <w:rPr>
          <w:b w:val="1"/>
          <w:bCs w:val="1"/>
        </w:rPr>
        <w:t xml:space="preserve">Mezuniyet Koşulları</w:t>
      </w:r>
    </w:p>
    <w:p>
      <w:pPr/>
      <w:r>
        <w:rPr/>
        <w:t xml:space="preserve">İnşaat Mühendisliği Doktora Programından mezun olabilmek için öğrencilerin program kapsamında belirlenen zorunlu ve seçmeli dersleri başarıyla tamamlamaları, seminer dersini, yeterlik sınavını ve tez önerisi aşamasını başarıyla geçmeleri, doktora tez çalışmasını ilgili mevzuat hükümlerine uygun olarak tamamlayıp savunmada başarılı olmaları ve program için öngörülen tüm akademik yükümlülükleri yerine getirmeleri gerekmektedir.
Mezuniyet işlemleri, Yükseköğretim Kurulu Lisansüstü Eğitim ve Öğretim Yönetmeliği ile Toros Üniversitesi Lisansüstü Eğitim ve Öğretim Yönetmeliği hükümlerine göre yürütülür.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Prof. Dr. Mehmet ÇAKIROĞLU, Dr. Öğr. Üyesi Hatice Merve ÇETİN</w:t>
      </w:r>
    </w:p>
    <w:p>
      <w:pPr>
        <w:spacing w:before="120"/>
      </w:pPr>
      <w:r>
        <w:rPr>
          <w:b w:val="1"/>
          <w:bCs w:val="1"/>
        </w:rPr>
        <w:t xml:space="preserve">Bölüm Olanakları</w:t>
      </w:r>
    </w:p>
    <w:p>
      <w:pPr/>
      <w:r>
        <w:rPr/>
        <w:t xml:space="preserve">İnşaat Mühendisliği Doktora Programı kapsamında öğrenciler; alanında uzman akademik kadro, uygulama ve araştırma laboratuvarları, bilgisayar destekli analiz yazılımları, kütüphane ve elektronik veri tabanları gibi akademik olanaklardan yararlanabilmektedir. Program, öğrencilerin bilimsel araştırma, proje geliştirme ve disiplinler arası çalışma yapabilmelerini destekleyen bir eğitim ve araştırma altyapısına sahiptir.</w:t>
      </w:r>
    </w:p>
    <w:p>
      <w:pPr>
        <w:pStyle w:val="Heading2"/>
      </w:pPr>
      <w:bookmarkStart w:id="2" w:name="_Toc2"/>
      <w:r>
        <w:t>Program outcomes</w:t>
      </w:r>
      <w:bookmarkEnd w:id="2"/>
    </w:p>
    <w:p>
      <w:pPr>
        <w:spacing w:after="60"/>
      </w:pPr>
      <w:r>
        <w:rPr/>
        <w:t xml:space="preserve">1. İnşaat mühendisliği alanında ileri düzey kuramsal ve uygulamalı bilgiye sahip olma. (BİLGİ - Kuramsal Olgusal)</w:t>
      </w:r>
    </w:p>
    <w:p>
      <w:pPr>
        <w:spacing w:after="60"/>
      </w:pPr>
      <w:r>
        <w:rPr/>
        <w:t xml:space="preserve">2. Karmaşık mühendislik problemlerini ileri analiz yöntemleri ile çözebilme ve modelleyebilme. (BİLGİ - Kuramsal Olgusal)</w:t>
      </w:r>
    </w:p>
    <w:p>
      <w:pPr>
        <w:spacing w:after="60"/>
      </w:pPr>
      <w:r>
        <w:rPr/>
        <w:t xml:space="preserve">3. Bilimsel araştırma planlayabilme, yürütebilme ve elde edilen sonuçları yorumlayabilme. (BİLGİ - Kuramsal Olgusal)</w:t>
      </w:r>
    </w:p>
    <w:p>
      <w:pPr>
        <w:spacing w:after="60"/>
      </w:pPr>
      <w:r>
        <w:rPr/>
        <w:t xml:space="preserve">4. Özgün bir araştırmayı bağımsız olarak tasarlayıp gerçekleştirebilme ve bilimsel yayın haline getirebilme. (BİLGİ - Kuramsal Olgusal)</w:t>
      </w:r>
    </w:p>
    <w:p>
      <w:pPr>
        <w:spacing w:after="60"/>
      </w:pPr>
      <w:r>
        <w:rPr/>
        <w:t xml:space="preserve">5. Ulusal ve uluslararası bilimsel ortamlarda etkili yazılı ve sözlü iletişim kurabilme. (BİLGİ - Kuramsal Olgusal)</w:t>
      </w:r>
    </w:p>
    <w:p>
      <w:pPr>
        <w:spacing w:after="60"/>
      </w:pPr>
      <w:r>
        <w:rPr/>
        <w:t xml:space="preserve">6. Mesleki ve bilimsel etik ilkeler doğrultusunda hareket etme bilinci kazanma. (BİLGİ - Kuramsal Olgusal)</w:t>
      </w:r>
    </w:p>
    <w:p>
      <w:pPr>
        <w:spacing w:after="60"/>
      </w:pPr>
      <w:r>
        <w:rPr/>
        <w:t xml:space="preserve">7. Disiplinler arası çalışmalara katkı sağlayabilme ve farklı alanlarla entegrasyon kurabilme. (BİLGİ - Kuramsal Olgusal)</w:t>
      </w:r>
    </w:p>
    <w:p>
      <w:pPr>
        <w:spacing w:after="60"/>
      </w:pPr>
      <w:r>
        <w:rPr/>
        <w:t xml:space="preserve">8. Yeni ve gelişmekte olan teknolojileri takip edebilme ve mühendislik uygulamalarına entegre edebilme. (BİLGİ - Kuramsal Olgusal)</w:t>
      </w:r>
    </w:p>
    <w:p>
      <w:pPr>
        <w:spacing w:after="60"/>
      </w:pPr>
      <w:r>
        <w:rPr/>
        <w:t xml:space="preserve">9. Akademik veya profesyonel ortamlarda liderlik ve sorumluluk alma becerisi geliştirme.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İNŞ 703</w:t>
            </w:r>
          </w:p>
        </w:tc>
        <w:tc>
          <w:tcPr>
            <w:tcW w:w="4000" w:type="dxa"/>
            <w:noWrap/>
          </w:tcPr>
          <w:p>
            <w:pPr/>
            <w:r>
              <w:rPr/>
              <w:t xml:space="preserve">İleri Kıyı Mühendisliği 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721</w:t>
            </w:r>
          </w:p>
        </w:tc>
        <w:tc>
          <w:tcPr>
            <w:tcW w:w="4000" w:type="dxa"/>
            <w:noWrap/>
          </w:tcPr>
          <w:p>
            <w:pPr/>
            <w:r>
              <w:rPr/>
              <w:t xml:space="preserve">İleri Zemin Mekaniği 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726</w:t>
            </w:r>
          </w:p>
        </w:tc>
        <w:tc>
          <w:tcPr>
            <w:tcW w:w="4000" w:type="dxa"/>
            <w:noWrap/>
          </w:tcPr>
          <w:p>
            <w:pPr/>
            <w:r>
              <w:rPr/>
              <w:t xml:space="preserve">İleri Akışkanlar Mekaniği 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727</w:t>
            </w:r>
          </w:p>
        </w:tc>
        <w:tc>
          <w:tcPr>
            <w:tcW w:w="4000" w:type="dxa"/>
            <w:noWrap/>
          </w:tcPr>
          <w:p>
            <w:pPr/>
            <w:r>
              <w:rPr/>
              <w:t xml:space="preserve">İleri Akışkanlar Mekaniği II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 728</w:t>
            </w:r>
          </w:p>
        </w:tc>
        <w:tc>
          <w:tcPr>
            <w:tcW w:w="4000" w:type="dxa"/>
            <w:noWrap/>
          </w:tcPr>
          <w:p>
            <w:pPr/>
            <w:r>
              <w:rPr/>
              <w:t xml:space="preserve">Barajlar Ve Hidrolik Esaslar</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İNŞ731</w:t>
            </w:r>
          </w:p>
        </w:tc>
        <w:tc>
          <w:tcPr>
            <w:tcW w:w="4000" w:type="dxa"/>
            <w:noWrap/>
          </w:tcPr>
          <w:p>
            <w:pPr/>
            <w:r>
              <w:rPr/>
              <w:t xml:space="preserve">İleri Yol Üstyapı Yönetimi</w:t>
            </w:r>
          </w:p>
        </w:tc>
        <w:tc>
          <w:tcPr>
            <w:tcW w:w="1100" w:type="dxa"/>
            <w:noWrap/>
          </w:tcPr>
          <w:p>
            <w:pPr/>
            <w:r>
              <w:rPr/>
              <w:t xml:space="preserve">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İNŞ702</w:t>
            </w:r>
          </w:p>
        </w:tc>
        <w:tc>
          <w:tcPr>
            <w:tcW w:w="4000" w:type="dxa"/>
            <w:noWrap/>
          </w:tcPr>
          <w:p>
            <w:pPr/>
            <w:r>
              <w:rPr/>
              <w:t xml:space="preserve">BİLİMSEL ARAŞTIRMA TEKNİKLERİ VE YAYIN ETİĞİ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2026-10-26T22:01:53+03:00</dcterms:created>
  <dcterms:modified xsi:type="dcterms:W3CDTF">2026-10-26T22:01:53+03:00</dcterms:modified>
</cp:coreProperties>
</file>

<file path=docProps/custom.xml><?xml version="1.0" encoding="utf-8"?>
<Properties xmlns="http://schemas.openxmlformats.org/officeDocument/2006/custom-properties" xmlns:vt="http://schemas.openxmlformats.org/officeDocument/2006/docPropsVTypes"/>
</file>