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KALEM MEVZUATI VE TEBLİGAT HUKUKU</w:t>
      </w:r>
      <w:bookmarkEnd w:id="0"/>
    </w:p>
    <w:p>
      <w:pPr/>
      <w:r>
        <w:rPr>
          <w:color w:val="5B6577"/>
        </w:rPr>
        <w:t xml:space="preserve">MBH122 · Court Office Services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Ön 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DSÜ Öğretim Görevlisi Batuhan GÜN</w:t>
            </w:r>
          </w:p>
        </w:tc>
      </w:tr>
      <w:tr>
        <w:trPr/>
        <w:tc>
          <w:tcPr>
            <w:noWrap/>
          </w:tcPr>
          <w:p>
            <w:pPr/>
            <w:r>
              <w:rPr/>
              <w:t xml:space="preserve">Prerequisite courses</w:t>
            </w:r>
          </w:p>
        </w:tc>
        <w:tc>
          <w:tcPr>
            <w:noWrap/>
          </w:tcPr>
          <w:p>
            <w:pPr/>
            <w:r>
              <w:rPr/>
              <w:t xml:space="preserve">-</w:t>
            </w:r>
          </w:p>
        </w:tc>
      </w:tr>
      <w:tr>
        <w:trPr/>
        <w:tc>
          <w:tcPr>
            <w:noWrap/>
          </w:tcPr>
          <w:p>
            <w:pPr/>
            <w:r>
              <w:rPr/>
              <w:t xml:space="preserve">Internship status</w:t>
            </w:r>
          </w:p>
        </w:tc>
        <w:tc>
          <w:tcPr>
            <w:noWrap/>
          </w:tcPr>
          <w:p>
            <w:pPr/>
            <w:r>
              <w:rPr/>
              <w:t xml:space="preserve">-</w:t>
            </w:r>
          </w:p>
        </w:tc>
      </w:tr>
    </w:tbl>
    <w:p>
      <w:pPr>
        <w:pStyle w:val="Heading2"/>
      </w:pPr>
      <w:bookmarkStart w:id="2" w:name="_Toc2"/>
      <w:r>
        <w:t>Course objectives</w:t>
      </w:r>
      <w:bookmarkEnd w:id="2"/>
    </w:p>
    <w:p>
      <w:pPr>
        <w:spacing w:after="80"/>
      </w:pPr>
      <w:r>
        <w:rPr/>
        <w:t xml:space="preserve">Ülkemizdeki yargı kolları dikkate alındığında her bir yargı kolunun kendi mahkemeler teşkilatı, bu mahkemelerin kendilerine ait kalemleri ve o yargı koluna özgü yargılama kurallarına göre düzenlenmiş olan kalem mevzuatı bulunmaktadır. Bu derste amaç, adli yargı ilk derece mahkemelerinin ve bölge adliye mahkemelerinin kalem teşkilatını ve bu kalem teşkilatının uymakla yükümlü olduğu hukuk kurallarını incelemektir.</w:t>
      </w:r>
    </w:p>
    <w:p>
      <w:pPr>
        <w:pStyle w:val="Heading2"/>
      </w:pPr>
      <w:bookmarkStart w:id="3" w:name="_Toc3"/>
      <w:r>
        <w:t>Course content</w:t>
      </w:r>
      <w:bookmarkEnd w:id="3"/>
    </w:p>
    <w:p>
      <w:pPr>
        <w:spacing w:after="80"/>
      </w:pPr>
      <w:r>
        <w:rPr/>
        <w:t xml:space="preserve">Kalem Mevzuatı ve İşlemleri dersinde genel olarak, yargı teşkilatının sınıflandırılması, yargı teşkilatının kalem işlemleri ile ilgili kanuni düzenlemeler, dosya ve defterlere ilişkin normlar, kalemlerde yapılan yazışma biçimleri ve işlemler, kalem personelinin görevleri anlatılır.</w:t>
      </w:r>
    </w:p>
    <w:p>
      <w:pPr>
        <w:pStyle w:val="Heading2"/>
      </w:pPr>
      <w:bookmarkStart w:id="4" w:name="_Toc4"/>
      <w:r>
        <w:t>Resources</w:t>
      </w:r>
      <w:bookmarkEnd w:id="4"/>
    </w:p>
    <w:p>
      <w:pPr>
        <w:spacing w:after="80"/>
      </w:pPr>
      <w:r>
        <w:rPr/>
        <w:t xml:space="preserve">Kalem Mevzuatı (Yazı İşleri) Ders Kitabı - Doç. Dr. Hakan Albayrak</w:t>
      </w:r>
    </w:p>
    <w:p>
      <w:pPr>
        <w:pStyle w:val="Heading2"/>
      </w:pPr>
      <w:bookmarkStart w:id="5" w:name="_Toc5"/>
      <w:r>
        <w:t>Other recommended points</w:t>
      </w:r>
      <w:bookmarkEnd w:id="5"/>
    </w:p>
    <w:p>
      <w:pPr>
        <w:spacing w:after="80"/>
      </w:pPr>
      <w:r>
        <w:rPr/>
        <w:t xml:space="preserve">-</w:t>
      </w:r>
    </w:p>
    <w:p>
      <w:pPr>
        <w:pStyle w:val="Heading2"/>
      </w:pPr>
      <w:bookmarkStart w:id="6" w:name="_Toc6"/>
      <w:r>
        <w:t>Learning outcomes</w:t>
      </w:r>
      <w:bookmarkEnd w:id="6"/>
    </w:p>
    <w:p>
      <w:pPr>
        <w:spacing w:after="60"/>
      </w:pPr>
      <w:r>
        <w:rPr/>
        <w:t xml:space="preserve">1. Kalem sistemi ve kalem sisteminin yargı örgütündeki yerini açıklayabilir.</w:t>
      </w:r>
    </w:p>
    <w:p>
      <w:pPr>
        <w:spacing w:after="60"/>
      </w:pPr>
      <w:r>
        <w:rPr/>
        <w:t xml:space="preserve">2. Kalem mevzuatı ve bu çerçevede yargı örgütünü anlayabilir.</w:t>
      </w:r>
    </w:p>
    <w:p>
      <w:pPr>
        <w:spacing w:after="60"/>
      </w:pPr>
      <w:r>
        <w:rPr/>
        <w:t xml:space="preserve">3. İlk derece mahkemelerinde ( idare, ceza ve icra mahkemelerinde) ve üst derece yargı organlarında yazı işleri ve uygulama usullerini anlatabilir.</w:t>
      </w:r>
    </w:p>
    <w:p>
      <w:pPr>
        <w:spacing w:after="60"/>
      </w:pPr>
      <w:r>
        <w:rPr/>
        <w:t xml:space="preserve">4. Resmi ve adli yazışma usullerini bilir.</w:t>
      </w:r>
    </w:p>
    <w:p>
      <w:pPr>
        <w:spacing w:after="60"/>
      </w:pPr>
      <w:r>
        <w:rPr/>
        <w:t xml:space="preserve">5. Tebligat yapabilir</w:t>
      </w:r>
    </w:p>
    <w:p>
      <w:pPr>
        <w:pStyle w:val="Heading2"/>
      </w:pPr>
      <w:bookmarkStart w:id="7" w:name="_Toc7"/>
      <w:r>
        <w:t>Weekly topics</w:t>
      </w:r>
      <w:bookmarkEnd w:id="7"/>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KALEM SİSTEMİNİN YARGI ÖRGÜTÜNDEKİ YERİ VE ÖZELLİKLERİ</w:t>
            </w:r>
          </w:p>
        </w:tc>
      </w:tr>
      <w:tr>
        <w:trPr/>
        <w:tc>
          <w:tcPr>
            <w:noWrap/>
          </w:tcPr>
          <w:p>
            <w:pPr/>
            <w:r>
              <w:rPr/>
              <w:t xml:space="preserve">2</w:t>
            </w:r>
          </w:p>
        </w:tc>
        <w:tc>
          <w:tcPr>
            <w:noWrap/>
          </w:tcPr>
          <w:p>
            <w:pPr/>
            <w:r>
              <w:rPr/>
              <w:t xml:space="preserve">II. UYGULANAN KALEM MEVZUATI İLE BİRLİKTE GENEL ANLAMDA TÜRK YARGI ÖRGÜTÜ YAZI İŞLERİ PERSONELİ VE GÖREVLERİ-</w:t>
            </w:r>
          </w:p>
        </w:tc>
      </w:tr>
      <w:tr>
        <w:trPr/>
        <w:tc>
          <w:tcPr>
            <w:noWrap/>
          </w:tcPr>
          <w:p>
            <w:pPr/>
            <w:r>
              <w:rPr/>
              <w:t xml:space="preserve">3</w:t>
            </w:r>
          </w:p>
        </w:tc>
        <w:tc>
          <w:tcPr>
            <w:noWrap/>
          </w:tcPr>
          <w:p>
            <w:pPr/>
            <w:r>
              <w:rPr/>
              <w:t xml:space="preserve">YAZI İŞLERİ PERSONELİ VE GÖREVLERİ-</w:t>
            </w:r>
          </w:p>
        </w:tc>
      </w:tr>
      <w:tr>
        <w:trPr/>
        <w:tc>
          <w:tcPr>
            <w:noWrap/>
          </w:tcPr>
          <w:p>
            <w:pPr/>
            <w:r>
              <w:rPr/>
              <w:t xml:space="preserve">4</w:t>
            </w:r>
          </w:p>
        </w:tc>
        <w:tc>
          <w:tcPr>
            <w:noWrap/>
          </w:tcPr>
          <w:p>
            <w:pPr/>
            <w:r>
              <w:rPr/>
              <w:t xml:space="preserve">HUKUK YARGILAMASI İLK DERECE MAHKEMELERİNDE YAZI İŞLERİ VE UYGULAMA USULLERİ</w:t>
            </w:r>
          </w:p>
        </w:tc>
      </w:tr>
      <w:tr>
        <w:trPr/>
        <w:tc>
          <w:tcPr>
            <w:noWrap/>
          </w:tcPr>
          <w:p>
            <w:pPr/>
            <w:r>
              <w:rPr/>
              <w:t xml:space="preserve">5</w:t>
            </w:r>
          </w:p>
        </w:tc>
        <w:tc>
          <w:tcPr>
            <w:noWrap/>
          </w:tcPr>
          <w:p>
            <w:pPr/>
            <w:r>
              <w:rPr/>
              <w:t xml:space="preserve">HUKUK YARGILAMASI İLK DERECE MAHKEMELERİNDE YAZI İŞLERİ VE UYGULAMA USULLERİ</w:t>
            </w:r>
          </w:p>
        </w:tc>
      </w:tr>
      <w:tr>
        <w:trPr/>
        <w:tc>
          <w:tcPr>
            <w:noWrap/>
          </w:tcPr>
          <w:p>
            <w:pPr/>
            <w:r>
              <w:rPr/>
              <w:t xml:space="preserve">6</w:t>
            </w:r>
          </w:p>
        </w:tc>
        <w:tc>
          <w:tcPr>
            <w:noWrap/>
          </w:tcPr>
          <w:p>
            <w:pPr/>
            <w:r>
              <w:rPr/>
              <w:t xml:space="preserve">CEZA YARGILAMASINDA YAZI İŞLERİ VEUYGULAMA USULLERİ</w:t>
            </w:r>
          </w:p>
        </w:tc>
      </w:tr>
      <w:tr>
        <w:trPr/>
        <w:tc>
          <w:tcPr>
            <w:noWrap/>
          </w:tcPr>
          <w:p>
            <w:pPr/>
            <w:r>
              <w:rPr/>
              <w:t xml:space="preserve">7</w:t>
            </w:r>
          </w:p>
        </w:tc>
        <w:tc>
          <w:tcPr>
            <w:noWrap/>
          </w:tcPr>
          <w:p>
            <w:pPr/>
            <w:r>
              <w:rPr/>
              <w:t xml:space="preserve">CEZA YARGILAMASINDA YAZI İŞLERİ VEUYGULAMA USULLERİ</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İDARİ YARGI İLK DERECE MAHKEMELERİNDE YAZI İŞLERİ VE UYGULAMA USULLERİ</w:t>
            </w:r>
          </w:p>
        </w:tc>
      </w:tr>
      <w:tr>
        <w:trPr/>
        <w:tc>
          <w:tcPr>
            <w:noWrap/>
          </w:tcPr>
          <w:p>
            <w:pPr/>
            <w:r>
              <w:rPr/>
              <w:t xml:space="preserve">10</w:t>
            </w:r>
          </w:p>
        </w:tc>
        <w:tc>
          <w:tcPr>
            <w:noWrap/>
          </w:tcPr>
          <w:p>
            <w:pPr/>
            <w:r>
              <w:rPr/>
              <w:t xml:space="preserve">İDARİ YARGI İLK DERECE MAHKEMELERİNDE YAZI İŞLERİ VE UYGULAMA USULLERİ</w:t>
            </w:r>
          </w:p>
        </w:tc>
      </w:tr>
      <w:tr>
        <w:trPr/>
        <w:tc>
          <w:tcPr>
            <w:noWrap/>
          </w:tcPr>
          <w:p>
            <w:pPr/>
            <w:r>
              <w:rPr/>
              <w:t xml:space="preserve">11</w:t>
            </w:r>
          </w:p>
        </w:tc>
        <w:tc>
          <w:tcPr>
            <w:noWrap/>
          </w:tcPr>
          <w:p>
            <w:pPr/>
            <w:r>
              <w:rPr/>
              <w:t xml:space="preserve">İCRA VE İFLAS DAİRELERİ İLE İCRA MAHKEMELERİNDE YAZI İŞLERİ VE UYGULAMA USULLERİ</w:t>
            </w:r>
          </w:p>
        </w:tc>
      </w:tr>
      <w:tr>
        <w:trPr/>
        <w:tc>
          <w:tcPr>
            <w:noWrap/>
          </w:tcPr>
          <w:p>
            <w:pPr/>
            <w:r>
              <w:rPr/>
              <w:t xml:space="preserve">12</w:t>
            </w:r>
          </w:p>
        </w:tc>
        <w:tc>
          <w:tcPr>
            <w:noWrap/>
          </w:tcPr>
          <w:p>
            <w:pPr/>
            <w:r>
              <w:rPr/>
              <w:t xml:space="preserve">İCRA VE İFLAS DAİRELERİ İLE İCRA MAHKEMELERİNDE YAZI İŞLERİ VE UYGULAMA USULLERİ</w:t>
            </w:r>
          </w:p>
        </w:tc>
      </w:tr>
      <w:tr>
        <w:trPr/>
        <w:tc>
          <w:tcPr>
            <w:noWrap/>
          </w:tcPr>
          <w:p>
            <w:pPr/>
            <w:r>
              <w:rPr/>
              <w:t xml:space="preserve">13</w:t>
            </w:r>
          </w:p>
        </w:tc>
        <w:tc>
          <w:tcPr>
            <w:noWrap/>
          </w:tcPr>
          <w:p>
            <w:pPr/>
            <w:r>
              <w:rPr/>
              <w:t xml:space="preserve">ÜST DERECE MAHKEMELERİNDE YAZI İŞLERİ VE UYGULAMA USULLERİ</w:t>
            </w:r>
          </w:p>
        </w:tc>
      </w:tr>
      <w:tr>
        <w:trPr/>
        <w:tc>
          <w:tcPr>
            <w:noWrap/>
          </w:tcPr>
          <w:p>
            <w:pPr/>
            <w:r>
              <w:rPr/>
              <w:t xml:space="preserve">14</w:t>
            </w:r>
          </w:p>
        </w:tc>
        <w:tc>
          <w:tcPr>
            <w:noWrap/>
          </w:tcPr>
          <w:p>
            <w:pPr/>
            <w:r>
              <w:rPr/>
              <w:t xml:space="preserve">Tebligat Kanunu</w:t>
            </w:r>
          </w:p>
        </w:tc>
      </w:tr>
      <w:tr>
        <w:trPr/>
        <w:tc>
          <w:tcPr>
            <w:noWrap/>
          </w:tcPr>
          <w:p>
            <w:pPr/>
            <w:r>
              <w:rPr/>
              <w:t xml:space="preserve">15</w:t>
            </w:r>
          </w:p>
        </w:tc>
        <w:tc>
          <w:tcPr>
            <w:noWrap/>
          </w:tcPr>
          <w:p>
            <w:pPr/>
            <w:r>
              <w:rPr/>
              <w:t xml:space="preserve">Tebligat Kanunu</w:t>
            </w:r>
          </w:p>
        </w:tc>
      </w:tr>
      <w:tr>
        <w:trPr/>
        <w:tc>
          <w:tcPr>
            <w:noWrap/>
          </w:tcPr>
          <w:p>
            <w:pPr/>
            <w:r>
              <w:rPr/>
              <w:t xml:space="preserve">16</w:t>
            </w:r>
          </w:p>
        </w:tc>
        <w:tc>
          <w:tcPr>
            <w:noWrap/>
          </w:tcPr>
          <w:p>
            <w:pPr/>
            <w:r>
              <w:rPr/>
              <w:t xml:space="preserve">FİNAL SINAVI</w:t>
            </w:r>
          </w:p>
        </w:tc>
      </w:tr>
    </w:tbl>
    <w:p>
      <w:pPr>
        <w:pStyle w:val="Heading2"/>
      </w:pPr>
      <w:bookmarkStart w:id="8" w:name="_Toc8"/>
      <w:r>
        <w:t>Yarıyıl (Yıl) İçi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9" w:name="_Toc9"/>
      <w:r>
        <w:t>Yarıyıl (Yıl) Sonu Etkinlikleri</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10" w:name="_Toc10"/>
      <w:r>
        <w:t>Yarıyıl(yıl) içi etkinliklerin ve yarıyıl(yıl) sonu sınavının başarı notuna katkısı</w:t>
      </w:r>
      <w:bookmarkEnd w:id="10"/>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1" w:name="_Toc11"/>
      <w:r>
        <w:t>ECTS workload</w:t>
      </w:r>
      <w:bookmarkEnd w:id="11"/>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Ara Sınav İçin Bireysel Çalışma</w:t>
            </w:r>
          </w:p>
        </w:tc>
        <w:tc>
          <w:tcPr>
            <w:noWrap/>
          </w:tcPr>
          <w:p>
            <w:pPr/>
            <w:r>
              <w:rPr/>
              <w:t xml:space="preserve">5</w:t>
            </w:r>
          </w:p>
        </w:tc>
        <w:tc>
          <w:tcPr>
            <w:noWrap/>
          </w:tcPr>
          <w:p>
            <w:pPr/>
            <w:r>
              <w:rPr/>
              <w:t xml:space="preserve">3</w:t>
            </w:r>
          </w:p>
        </w:tc>
        <w:tc>
          <w:tcPr>
            <w:noWrap/>
          </w:tcPr>
          <w:p>
            <w:pPr/>
            <w:r>
              <w:rPr/>
              <w:t xml:space="preserve">15</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7</w:t>
            </w:r>
          </w:p>
        </w:tc>
        <w:tc>
          <w:tcPr>
            <w:noWrap/>
          </w:tcPr>
          <w:p>
            <w:pPr/>
            <w:r>
              <w:rPr/>
              <w:t xml:space="preserve">2</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Bütünleme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Final Sınavı</w:t>
            </w:r>
          </w:p>
        </w:tc>
        <w:tc>
          <w:tcPr>
            <w:noWrap/>
          </w:tcPr>
          <w:p>
            <w:pPr/>
            <w:r>
              <w:rPr/>
              <w:t xml:space="preserve">1</w:t>
            </w:r>
          </w:p>
        </w:tc>
        <w:tc>
          <w:tcPr>
            <w:noWrap/>
          </w:tcPr>
          <w:p>
            <w:pPr/>
            <w:r>
              <w:rPr/>
              <w:t xml:space="preserve">2</w:t>
            </w:r>
          </w:p>
        </w:tc>
        <w:tc>
          <w:tcPr>
            <w:noWrap/>
          </w:tcPr>
          <w:p>
            <w:pPr/>
            <w:r>
              <w:rPr/>
              <w:t xml:space="preserve">2</w:t>
            </w:r>
          </w:p>
        </w:tc>
      </w:tr>
      <w:tr>
        <w:trPr/>
        <w:tc>
          <w:tcPr>
            <w:noWrap/>
          </w:tcPr>
          <w:p>
            <w:pPr/>
            <w:r>
              <w:rPr/>
              <w:t xml:space="preserve">Örnek Vaka İncelemesi</w:t>
            </w:r>
          </w:p>
        </w:tc>
        <w:tc>
          <w:tcPr>
            <w:noWrap/>
          </w:tcPr>
          <w:p>
            <w:pPr/>
            <w:r>
              <w:rPr/>
              <w:t xml:space="preserve">5</w:t>
            </w:r>
          </w:p>
        </w:tc>
        <w:tc>
          <w:tcPr>
            <w:noWrap/>
          </w:tcPr>
          <w:p>
            <w:pPr/>
            <w:r>
              <w:rPr/>
              <w:t xml:space="preserve">1</w:t>
            </w:r>
          </w:p>
        </w:tc>
        <w:tc>
          <w:tcPr>
            <w:noWrap/>
          </w:tcPr>
          <w:p>
            <w:pPr/>
            <w:r>
              <w:rPr/>
              <w:t xml:space="preserve">5</w:t>
            </w:r>
          </w:p>
        </w:tc>
      </w:tr>
    </w:tbl>
    <w:p>
      <w:pPr>
        <w:spacing w:before="80"/>
      </w:pPr>
      <w:r>
        <w:rPr>
          <w:b w:val="1"/>
          <w:bCs w:val="1"/>
        </w:rPr>
        <w:t xml:space="preserve">Total workload: 85 hours · 2.83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2026-10-26T21:16:35+03:00</dcterms:created>
  <dcterms:modified xsi:type="dcterms:W3CDTF">2026-10-26T21:16:35+03:00</dcterms:modified>
</cp:coreProperties>
</file>

<file path=docProps/custom.xml><?xml version="1.0" encoding="utf-8"?>
<Properties xmlns="http://schemas.openxmlformats.org/officeDocument/2006/custom-properties" xmlns:vt="http://schemas.openxmlformats.org/officeDocument/2006/docPropsVTypes"/>
</file>