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ENVIRONMENTAL LAW</w:t>
      </w:r>
      <w:bookmarkEnd w:id="0"/>
    </w:p>
    <w:p>
      <w:pPr/>
      <w:r>
        <w:rPr>
          <w:color w:val="5B6577"/>
        </w:rPr>
        <w:t xml:space="preserve">MBH 163 · Court Office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Furkan KIRPIK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--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---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Çevre hukuku tabii varlıkların hukuk vasıtasıyla korunmasını amaçlar.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Çevre hukukunun çerçevesini tanımlar. Tabiat zenginliklerini hukuki manada değerlendirir. Çevre kirlenmesini mevzuat kapsamında analiz eder. Uluslararası hukuk çerçevesinde çevre hakkını tanımlar. Sağlıklı bir yaşam için çevre projeleri yürütür.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Çevre Hukuku Ahmet Güneş, Yetkin Yayınevi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Çevre bilincine sahip olmak</w:t>
      </w:r>
    </w:p>
    <w:p>
      <w:pPr>
        <w:spacing w:after="60"/>
      </w:pPr>
      <w:r>
        <w:rPr/>
        <w:t xml:space="preserve">2. Çevrenin kirletilmesi sonucunda başvurulabilecek hukuki yolları bilmek</w:t>
      </w:r>
    </w:p>
    <w:p>
      <w:pPr>
        <w:spacing w:after="60"/>
      </w:pPr>
      <w:r>
        <w:rPr/>
        <w:t xml:space="preserve">3. Çevre kirlenmesini mevzuat kapsamında analiz etmek</w:t>
      </w:r>
    </w:p>
    <w:p>
      <w:pPr>
        <w:spacing w:after="60"/>
      </w:pPr>
      <w:r>
        <w:rPr/>
        <w:t xml:space="preserve">4. Bu dersi başarıyla tamamlayan bir öğrenci idare hukukuna giriş, idari teşkilat, idarenin görev ve yetkileri konularını öğrenmiş olacaktır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Çevre Hukukunun Tanımı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Çevre Hukukunun Kaynakları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Çevre Hukuku ile İlgili 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Çevrenin Korunmasında Ana İlkeler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Kirletenin Hukuki Sorumluluğu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Örnekler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Çevre Kanununa göre Sorumluluk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Borçlar kanununa göre sorumluluk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Yetkili ve Görevli Mahkeme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Örnekler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Çevrenin Kirletilmesi İle İlgili Suçlar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Kamu Hukukuna Göre Çevrenin Korunması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Kamuya Karşı Açılabilecek Davalar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Çevrenin Uluslararası Boyutları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102 hours · 3.4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2026-10-26T16:32:25+03:00</dcterms:created>
  <dcterms:modified xsi:type="dcterms:W3CDTF">2026-10-26T16:32:25+03:00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