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COLD KITCHEN APPLICATIONS</w:t></w:r><w:bookmarkEnd w:id="0"/></w:p><w:p><w:pPr/><w:r><w:rPr><w:color w:val="5B6577"/></w:rPr><w:t xml:space="preserve">GMS401 · Gastronomy and Culinary Arts</w:t></w:r></w:p><w:p><w:pPr><w:pStyle w:val="Heading2"/></w:pPr><w:bookmarkStart w:id="1" w:name="_Toc1"/><w:r><w:t>General information</w:t></w:r><w:bookmarkEnd w:id="1"/></w:p><w:tbl><w:tblGrid><w:gridCol/><w:gridCol/></w:tblGrid><w:tblPr><w:tblStyle w:val="grid"/></w:tblPr><w:tr><w:trPr/><w:tc><w:tcPr><w:noWrap/></w:tcPr><w:p><w:pPr/><w:r><w:rPr><w:b w:val="1"/><w:bCs w:val="1"/></w:rPr><w:t xml:space="preserve">Info</w:t></w:r></w:p></w:tc><w:tc><w:tcPr><w:noWrap/></w:tcPr><w:p><w:pPr/><w:r><w:rPr><w:b w:val="1"/><w:bCs w:val="1"/></w:rPr><w:t xml:space="preserve">Value</w:t></w:r></w:p></w:tc></w:tr><w:tr><w:trPr/><w:tc><w:tcPr><w:noWrap/></w:tcPr><w:p><w:pPr/><w:r><w:rPr/><w:t xml:space="preserve">Semester</w:t></w:r></w:p></w:tc><w:tc><w:tcPr><w:noWrap/></w:tcPr><w:p><w:pPr/><w:r><w:rPr/><w:t xml:space="preserve">7</w:t></w:r></w:p></w:tc></w:tr><w:tr><w:trPr/><w:tc><w:tcPr><w:noWrap/></w:tcPr><w:p><w:pPr/><w:r><w:rPr/><w:t xml:space="preserve">Type</w:t></w:r></w:p></w:tc><w:tc><w:tcPr><w:noWrap/></w:tcPr><w:p><w:pPr/><w:r><w:rPr/><w:t xml:space="preserve">Zorunlu</w:t></w:r></w:p></w:tc></w:tr><w:tr><w:trPr/><w:tc><w:tcPr><w:noWrap/></w:tcPr><w:p><w:pPr/><w:r><w:rPr/><w:t xml:space="preserve">Theory / Practice / Lab</w:t></w:r></w:p></w:tc><w:tc><w:tcPr><w:noWrap/></w:tcPr><w:p><w:pPr/><w:r><w:rPr/><w:t xml:space="preserve">0 / 8 / 0</w:t></w:r></w:p></w:tc></w:tr><w:tr><w:trPr/><w:tc><w:tcPr><w:noWrap/></w:tcPr><w:p><w:pPr/><w:r><w:rPr/><w:t xml:space="preserve">ECTS</w:t></w:r></w:p></w:tc><w:tc><w:tcPr><w:noWrap/></w:tcPr><w:p><w:pPr/><w:r><w:rPr/><w:t xml:space="preserve">6</w:t></w:r></w:p></w:tc></w:tr><w:tr><w:trPr/><w:tc><w:tcPr><w:noWrap/></w:tcPr><w:p><w:pPr/><w:r><w:rPr/><w:t xml:space="preserve">Level of study</w:t></w:r></w:p></w:tc><w:tc><w:tcPr><w:noWrap/></w:tcPr><w:p><w:pPr/><w:r><w:rPr/><w:t xml:space="preserve">Lisans</w:t></w:r></w:p></w:tc></w:tr><w:tr><w:trPr/><w:tc><w:tcPr><w:noWrap/></w:tcPr><w:p><w:pPr/><w:r><w:rPr/><w:t xml:space="preserve">Mode of study</w:t></w:r></w:p></w:tc><w:tc><w:tcPr><w:noWrap/></w:tcPr><w:p><w:pPr/><w:r><w:rPr/><w:t xml:space="preserve">Birinci Öğretim</w:t></w:r></w:p></w:tc></w:tr><w:tr><w:trPr/><w:tc><w:tcPr><w:noWrap/></w:tcPr><w:p><w:pPr/><w:r><w:rPr/><w:t xml:space="preserve">Internship status</w:t></w:r></w:p></w:tc><w:tc><w:tcPr><w:noWrap/></w:tcPr><w:p><w:pPr/><w:r><w:rPr/><w:t xml:space="preserve">Mesleki Uygulama</w:t></w:r></w:p></w:tc></w:tr></w:tbl><w:p><w:pPr><w:pStyle w:val="Heading2"/></w:pPr><w:bookmarkStart w:id="2" w:name="_Toc2"/><w:r><w:t>Course objectives</w:t></w:r><w:bookmarkEnd w:id="2"/></w:p><w:p><w:pPr><w:spacing w:after="80"/></w:pPr><w:r><w:rPr/><w:t xml:space="preserve">Soğuk olarak servis edilen yiyecekleri (ordövrler, kanapeler, salatalar, soğuk soslar, zeytinyağlılar, şarküteri ürünleri, peynir tabağı, mezeler vb.) hazırlama ve sunma becerisi kazandırmaktır.</w:t></w:r></w:p><w:p><w:pPr><w:pStyle w:val="Heading2"/></w:pPr><w:bookmarkStart w:id="3" w:name="_Toc3"/><w:r><w:t>Course content</w:t></w:r><w:bookmarkEnd w:id="3"/></w:p><w:p><w:pPr><w:spacing w:after="80"/></w:pPr><w:r><w:rPr/><w:t xml:space="preserve">Sorumlu şef gözetiminde soğuk mutfak uygulamaları.</w:t></w:r></w:p><w:p><w:pPr><w:pStyle w:val="Heading2"/></w:pPr><w:bookmarkStart w:id="4" w:name="_Toc4"/><w:r><w:t>Resources</w:t></w:r><w:bookmarkEnd w:id="4"/></w:p><w:p><w:pPr><w:spacing w:after="80"/></w:pPr><w:r><w:rPr/><w:t xml:space="preserve">Mutfak Uygulamaları</w:t></w:r></w:p><w:p><w:pPr><w:spacing w:after="80"/></w:pPr><w:r><w:rPr/><w:t xml:space="preserve">Editör: Prof. Dr. Semra Akar Şahingöz, Doç. Dr. Tufan Süren</w:t></w:r></w:p><w:p><w:pPr><w:spacing w:after="80"/></w:pPr><w:r><w:rPr/><w:t xml:space="preserve">Yayınevi: Detay Yayıncılık</w:t></w:r></w:p><w:p><w:pPr><w:spacing w:after="80"/></w:pPr><w:r><w:rPr/><w:t xml:space="preserve">The Art and Craft of the Cold Kitchen</w:t></w:r></w:p><w:p><w:pPr><w:spacing w:after="80"/></w:pPr><w:r><w:rPr/><w:t xml:space="preserve">Garde Manger</w:t></w:r></w:p><w:p><w:pPr><w:spacing w:after="80"/></w:pPr><w:r><w:rPr/><w:t xml:space="preserve">Yayınevi:John Wiley & Sons. Inc</w:t></w:r></w:p><w:p><w:pPr><w:pStyle w:val="Heading2"/></w:pPr><w:bookmarkStart w:id="5" w:name="_Toc5"/><w:r><w:t>Other recommended points</w:t></w:r><w:bookmarkEnd w:id="5"/></w:p><w:p><w:pPr><w:spacing w:after="80"/></w:pPr><w:r><w:rPr/><w:t xml:space="preserve">Öğrencilerin 70 iş günü olan toplam uygulama süresinin 15 gününü bu alanda tamamlamaları önerilir.</w:t></w:r></w:p><w:p><w:pPr><w:pStyle w:val="Heading2"/></w:pPr><w:bookmarkStart w:id="6" w:name="_Toc6"/><w:r><w:t>Learning outcomes</w:t></w:r><w:bookmarkEnd w:id="6"/></w:p><w:p><w:pPr><w:spacing w:after="60"/></w:pPr><w:r><w:rPr/><w:t xml:space="preserve">1. Soğukçuluk ve soğuk mutfağın temel prensiplerini öğrenir.</w:t></w:r></w:p><w:p><w:pPr><w:spacing w:after="60"/></w:pPr><w:r><w:rPr/><w:t xml:space="preserve">2. Soğuk mutfağı kapsayan salata ve salata sosları, ördövr, meze ve sandviç hazırlar.</w:t></w:r></w:p><w:p><w:pPr><w:spacing w:after="60"/></w:pPr><w:r><w:rPr/><w:t xml:space="preserve">3. Soğuk çorba ve zeytinyağlı yemekler hazırlar.</w:t></w:r></w:p><w:p><w:pPr><w:spacing w:after="60"/></w:pPr><w:r><w:rPr/><w:t xml:space="preserve">4. Soğuk mutfak menülerinde yer alan yerel ve uluslararası yiyecek çeşitlerini tanır ve uygulamalı olarak hazırlar.</w:t></w:r></w:p><w:p><w:pPr><w:pStyle w:val="Heading2"/></w:pPr><w:bookmarkStart w:id="7" w:name="_Toc7"/><w:r><w:t>Yarıyıl (Yıl) Sonu Etkinlikleri</w:t></w:r><w:bookmarkEnd w:id="7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Staj Sonu Sınavı</w:t></w:r></w:p></w:tc><w:tc><w:tcPr><w:noWrap/></w:tcPr><w:p><w:pPr/><w:r><w:rPr/><w:t xml:space="preserve">0</w:t></w:r></w:p></w:tc><w:tc><w:tcPr><w:noWrap/></w:tcPr><w:p><w:pPr/><w:r><w:rPr/><w:t xml:space="preserve">%50</w:t></w:r></w:p></w:tc></w:tr><w:tr><w:trPr/><w:tc><w:tcPr><w:noWrap/></w:tcPr><w:p><w:pPr/><w:r><w:rPr/><w:t xml:space="preserve">Sözlü Sınav</w:t></w:r></w:p></w:tc><w:tc><w:tcPr><w:noWrap/></w:tcPr><w:p><w:pPr/><w:r><w:rPr/><w:t xml:space="preserve">0</w:t></w:r></w:p></w:tc><w:tc><w:tcPr><w:noWrap/></w:tcPr><w:p><w:pPr/><w:r><w:rPr/><w:t xml:space="preserve">%25</w:t></w:r></w:p></w:tc></w:tr><w:tr><w:trPr/><w:tc><w:tcPr><w:noWrap/></w:tcPr><w:p><w:pPr/><w:r><w:rPr/><w:t xml:space="preserve">Rapor Sunma</w:t></w:r></w:p></w:tc><w:tc><w:tcPr><w:noWrap/></w:tcPr><w:p><w:pPr/><w:r><w:rPr/><w:t xml:space="preserve">0</w:t></w:r></w:p></w:tc><w:tc><w:tcPr><w:noWrap/></w:tcPr><w:p><w:pPr/><w:r><w:rPr/><w:t xml:space="preserve">%25</w:t></w:r></w:p></w:tc></w:tr></w:tbl><w:p><w:pPr><w:pStyle w:val="Heading2"/></w:pPr><w:bookmarkStart w:id="8" w:name="_Toc8"/><w:r><w:t>Yarıyıl(yıl) içi etkinliklerin ve yarıyıl(yıl) sonu sınavının başarı notuna katkısı</w:t></w:r><w:bookmarkEnd w:id="8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Yarıyıl (Yıl) Sonu Etkinlikleri</w:t></w:r></w:p></w:tc><w:tc><w:tcPr><w:noWrap/></w:tcPr><w:p><w:pPr/><w:r><w:rPr/><w:t xml:space="preserve">0</w:t></w:r></w:p></w:tc><w:tc><w:tcPr><w:noWrap/></w:tcPr><w:p><w:pPr/><w:r><w:rPr/><w:t xml:space="preserve">%100</w:t></w:r></w:p></w:tc></w:tr></w:tbl><w:p><w:pPr><w:pStyle w:val="Heading2"/></w:pPr><w:bookmarkStart w:id="9" w:name="_Toc9"/><w:r><w:t>ECTS workload</w:t></w:r><w:bookmarkEnd w:id="9"/></w:p><w:tbl><w:tblGrid><w:gridCol/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Duration (hours)</w:t></w:r></w:p></w:tc><w:tc><w:tcPr><w:noWrap/></w:tcPr><w:p><w:pPr/><w:r><w:rPr><w:b w:val="1"/><w:bCs w:val="1"/></w:rPr><w:t xml:space="preserve">Total (hours)</w:t></w:r></w:p></w:tc></w:tr><w:tr><w:trPr/><w:tc><w:tcPr><w:noWrap/></w:tcPr><w:p><w:pPr/><w:r><w:rPr/><w:t xml:space="preserve">Gözlem</w:t></w:r></w:p></w:tc><w:tc><w:tcPr><w:noWrap/></w:tcPr><w:p><w:pPr/><w:r><w:rPr/><w:t xml:space="preserve">15</w:t></w:r></w:p></w:tc><w:tc><w:tcPr><w:noWrap/></w:tcPr><w:p><w:pPr/><w:r><w:rPr/><w:t xml:space="preserve">2</w:t></w:r></w:p></w:tc><w:tc><w:tcPr><w:noWrap/></w:tcPr><w:p><w:pPr/><w:r><w:rPr/><w:t xml:space="preserve">30</w:t></w:r></w:p></w:tc></w:tr><w:tr><w:trPr/><w:tc><w:tcPr><w:noWrap/></w:tcPr><w:p><w:pPr/><w:r><w:rPr/><w:t xml:space="preserve">Uygulama/Pratik</w:t></w:r></w:p></w:tc><w:tc><w:tcPr><w:noWrap/></w:tcPr><w:p><w:pPr/><w:r><w:rPr/><w:t xml:space="preserve">15</w:t></w:r></w:p></w:tc><w:tc><w:tcPr><w:noWrap/></w:tcPr><w:p><w:pPr/><w:r><w:rPr/><w:t xml:space="preserve">8</w:t></w:r></w:p></w:tc><w:tc><w:tcPr><w:noWrap/></w:tcPr><w:p><w:pPr/><w:r><w:rPr/><w:t xml:space="preserve">120</w:t></w:r></w:p></w:tc></w:tr><w:tr><w:trPr/><w:tc><w:tcPr><w:noWrap/></w:tcPr><w:p><w:pPr/><w:r><w:rPr/><w:t xml:space="preserve">Rapor Hazırlama</w:t></w:r></w:p></w:tc><w:tc><w:tcPr><w:noWrap/></w:tcPr><w:p><w:pPr/><w:r><w:rPr/><w:t xml:space="preserve">15</w:t></w:r></w:p></w:tc><w:tc><w:tcPr><w:noWrap/></w:tcPr><w:p><w:pPr/><w:r><w:rPr/><w:t xml:space="preserve">1</w:t></w:r></w:p></w:tc><w:tc><w:tcPr><w:noWrap/></w:tcPr><w:p><w:pPr/><w:r><w:rPr/><w:t xml:space="preserve">15</w:t></w:r></w:p></w:tc></w:tr><w:tr><w:trPr/><w:tc><w:tcPr><w:noWrap/></w:tcPr><w:p><w:pPr/><w:r><w:rPr/><w:t xml:space="preserve">Final Sınavı içiin Bireysel Çalışma</w:t></w:r></w:p></w:tc><w:tc><w:tcPr><w:noWrap/></w:tcPr><w:p><w:pPr/><w:r><w:rPr/><w:t xml:space="preserve">1</w:t></w:r></w:p></w:tc><w:tc><w:tcPr><w:noWrap/></w:tcPr><w:p><w:pPr/><w:r><w:rPr/><w:t xml:space="preserve">2</w:t></w:r></w:p></w:tc><w:tc><w:tcPr><w:noWrap/></w:tcPr><w:p><w:pPr/><w:r><w:rPr/><w:t xml:space="preserve">2</w:t></w:r></w:p></w:tc></w:tr><w:tr><w:trPr/><w:tc><w:tcPr><w:noWrap/></w:tcPr><w:p><w:pPr/><w:r><w:rPr/><w:t xml:space="preserve">Final Sınavı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/w:tbl><w:p><w:pPr><w:spacing w:before="80"/></w:pPr><w:r><w:rPr><w:b w:val="1"/><w:bCs w:val="1"/></w:rPr><w:t xml:space="preserve">Total workload: 168 hours · 5.6 ECTS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2026-10-26T21:55:10+03:00</dcterms:created>
  <dcterms:modified xsi:type="dcterms:W3CDTF">2026-10-26T21:55:10+03:00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