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ARTISTIC PASTRY II</w:t>
      </w:r>
      <w:bookmarkEnd w:id="0"/>
    </w:p>
    <w:p>
      <w:pPr/>
      <w:r>
        <w:rPr>
          <w:color w:val="5B6577"/>
        </w:rPr>
        <w:t xml:space="preserve">GMS312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5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İpek TURAN, Arş. Gör. Nasibe Uluk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Dersin staj durumu yoktur.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İleri seviye pastacılık tekniklerini teorik ve uygulamalı olarak işlemek amaçlanmıştır.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Dünya mutfaklarına ait tatlı ve pastaların yapımı ve sunum teknikleri, ileri seviye pasta yapım ve süsleme teknikleri.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Pasta Yapmak Bir Harika, Duygu Tuğcu, Rumuz Yayınevi</w:t>
      </w:r>
    </w:p>
    <w:p>
      <w:pPr>
        <w:spacing w:after="80"/>
      </w:pPr>
      <w:r>
        <w:rPr/>
        <w:t xml:space="preserve">Profesyonel Pastacılık, Duygu Tuğcu, Rumuz Yayınevi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Artistik pastacılıkta kullanılan ham maddelerin kimyasal yapılarını ve birbirleriyle olan etkileşimlerini açıklar.</w:t>
      </w:r>
    </w:p>
    <w:p>
      <w:pPr>
        <w:spacing w:after="60"/>
      </w:pPr>
      <w:r>
        <w:rPr/>
        <w:t xml:space="preserve">2. Şeker hamuru, pastillage ve modelleme çikolatası gibi ileri düzey kaplama ve figür tekniklerini reçetelere uygun olarak uygular.</w:t>
      </w:r>
    </w:p>
    <w:p>
      <w:pPr>
        <w:spacing w:after="60"/>
      </w:pPr>
      <w:r>
        <w:rPr/>
        <w:t xml:space="preserve">3. İzomalt (şeker sanatı) ve çikolata dekor tekniklerini kullanarak estetik ve artistik stand/gösteri ürünleri (showpiece) hazırlar.</w:t>
      </w:r>
    </w:p>
    <w:p>
      <w:pPr>
        <w:spacing w:after="60"/>
      </w:pPr>
      <w:r>
        <w:rPr/>
        <w:t xml:space="preserve">4. Belirli bir tema veya konsept doğrultusunda, özgün artistik pasta tasarımları ve kompozisyonları geliştirir.</w:t>
      </w:r>
    </w:p>
    <w:p>
      <w:pPr>
        <w:spacing w:after="60"/>
      </w:pPr>
      <w:r>
        <w:rPr/>
        <w:t xml:space="preserve">5. Üretilen artistik pastacılık ürünlerinin görsel kalitesini, yapısal dengesini ve iş sağlığı-güvenliği kurallarına uygunluğunu değerlendirir.</w:t>
      </w:r>
    </w:p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ECTS workload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Takım/Grup Çalışması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Alan Gezisi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193 hours · 6.43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2026-10-26T19:01:20+03:00</dcterms:created>
  <dcterms:modified xsi:type="dcterms:W3CDTF">2026-10-26T19:01:20+03:00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