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Bilişsel Davranışçı Terapi</w:t>
      </w:r>
      <w:bookmarkEnd w:id="0"/>
    </w:p>
    <w:p>
      <w:pPr/>
      <w:r>
        <w:rPr>
          <w:color w:val="5B6577"/>
        </w:rPr>
        <w:t xml:space="preserve">PSİ5007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