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FİZYOTERAPİ VE REHABİLİTSYONDA KARİYER PLANLAMA</w:t>
      </w:r>
      <w:bookmarkEnd w:id="0"/>
    </w:p>
    <w:p>
      <w:pPr/>
      <w:r>
        <w:rPr>
          <w:color w:val="5B6577"/>
        </w:rPr>
        <w:t xml:space="preserve">FZT-SD403 · Physiotherapy and Rehabilitation</w:t>
      </w:r>
    </w:p>
    <w:p>
      <w:pPr>
        <w:pStyle w:val="Heading2"/>
      </w:pPr>
      <w:bookmarkStart w:id="1" w:name="_Toc1"/>
      <w:r>
        <w:t>General information</w:t>
      </w:r>
      <w:bookmarkEnd w:id="1"/>
    </w:p>
    <w:tbl>
      <w:tblGrid>
        <w:gridCol/>
        <w:gridCol/>
      </w:tblGrid>
      <w:tblPr>
        <w:tblStyle w:val="grid"/>
      </w:tblPr>
      <w:tr>
        <w:trPr/>
        <w:tc>
          <w:tcPr>
            <w:noWrap/>
          </w:tcPr>
          <w:p>
            <w:pPr/>
            <w:r>
              <w:rPr>
                <w:b w:val="1"/>
                <w:bCs w:val="1"/>
              </w:rPr>
              <w:t xml:space="preserve">Info</w:t>
            </w:r>
          </w:p>
        </w:tc>
        <w:tc>
          <w:tcPr>
            <w:noWrap/>
          </w:tcPr>
          <w:p>
            <w:pPr/>
            <w:r>
              <w:rPr>
                <w:b w:val="1"/>
                <w:bCs w:val="1"/>
              </w:rPr>
              <w:t xml:space="preserve">Value</w:t>
            </w:r>
          </w:p>
        </w:tc>
      </w:tr>
      <w:tr>
        <w:trPr/>
        <w:tc>
          <w:tcPr>
            <w:noWrap/>
          </w:tcPr>
          <w:p>
            <w:pPr/>
            <w:r>
              <w:rPr/>
              <w:t xml:space="preserve">Semester</w:t>
            </w:r>
          </w:p>
        </w:tc>
        <w:tc>
          <w:tcPr>
            <w:noWrap/>
          </w:tcPr>
          <w:p>
            <w:pPr/>
            <w:r>
              <w:rPr/>
              <w:t xml:space="preserve">7</w:t>
            </w:r>
          </w:p>
        </w:tc>
      </w:tr>
      <w:tr>
        <w:trPr/>
        <w:tc>
          <w:tcPr>
            <w:noWrap/>
          </w:tcPr>
          <w:p>
            <w:pPr/>
            <w:r>
              <w:rPr/>
              <w:t xml:space="preserve">Type</w:t>
            </w:r>
          </w:p>
        </w:tc>
        <w:tc>
          <w:tcPr>
            <w:noWrap/>
          </w:tcPr>
          <w:p>
            <w:pPr/>
            <w:r>
              <w:rPr/>
              <w:t xml:space="preserve">Elective</w:t>
            </w:r>
          </w:p>
        </w:tc>
      </w:tr>
      <w:tr>
        <w:trPr/>
        <w:tc>
          <w:tcPr>
            <w:noWrap/>
          </w:tcPr>
          <w:p>
            <w:pPr/>
            <w:r>
              <w:rPr/>
              <w:t xml:space="preserve">Theory / Practice / Lab</w:t>
            </w:r>
          </w:p>
        </w:tc>
        <w:tc>
          <w:tcPr>
            <w:noWrap/>
          </w:tcPr>
          <w:p>
            <w:pPr/>
            <w:r>
              <w:rPr/>
              <w:t xml:space="preserve">2 / 0 / 0</w:t>
            </w:r>
          </w:p>
        </w:tc>
      </w:tr>
      <w:tr>
        <w:trPr/>
        <w:tc>
          <w:tcPr>
            <w:noWrap/>
          </w:tcPr>
          <w:p>
            <w:pPr/>
            <w:r>
              <w:rPr/>
              <w:t xml:space="preserve">ECTS</w:t>
            </w:r>
          </w:p>
        </w:tc>
        <w:tc>
          <w:tcPr>
            <w:noWrap/>
          </w:tcPr>
          <w:p>
            <w:pPr/>
            <w:r>
              <w:rPr/>
              <w:t xml:space="preserve">3</w:t>
            </w:r>
          </w:p>
        </w:tc>
      </w:tr>
      <w:tr>
        <w:trPr/>
        <w:tc>
          <w:tcPr>
            <w:noWrap/>
          </w:tcPr>
          <w:p>
            <w:pPr/>
            <w:r>
              <w:rPr/>
              <w:t xml:space="preserve">Mode of study</w:t>
            </w:r>
          </w:p>
        </w:tc>
        <w:tc>
          <w:tcPr>
            <w:noWrap/>
          </w:tcPr>
          <w:p>
            <w:pPr/>
            <w:r>
              <w:rPr/>
              <w:t xml:space="preserve">Birinci Öğretim</w:t>
            </w:r>
          </w:p>
        </w:tc>
      </w:tr>
      <w:tr>
        <w:trPr/>
        <w:tc>
          <w:tcPr>
            <w:noWrap/>
          </w:tcPr>
          <w:p>
            <w:pPr/>
            <w:r>
              <w:rPr/>
              <w:t xml:space="preserve">Instructor</w:t>
            </w:r>
          </w:p>
        </w:tc>
        <w:tc>
          <w:tcPr>
            <w:noWrap/>
          </w:tcPr>
          <w:p>
            <w:pPr/>
            <w:r>
              <w:rPr/>
              <w:t xml:space="preserve">Prof. Dr. Serkan TAŞ</w:t>
            </w:r>
          </w:p>
        </w:tc>
      </w:tr>
      <w:tr>
        <w:trPr/>
        <w:tc>
          <w:tcPr>
            <w:noWrap/>
          </w:tcPr>
          <w:p>
            <w:pPr/>
            <w:r>
              <w:rPr/>
              <w:t xml:space="preserve">Internship status</w:t>
            </w:r>
          </w:p>
        </w:tc>
        <w:tc>
          <w:tcPr>
            <w:noWrap/>
          </w:tcPr>
          <w:p>
            <w:pPr/>
            <w:r>
              <w:rPr/>
              <w:t xml:space="preserve">Yok</w:t>
            </w:r>
          </w:p>
        </w:tc>
      </w:tr>
    </w:tbl>
    <w:p>
      <w:pPr>
        <w:pStyle w:val="Heading2"/>
      </w:pPr>
      <w:bookmarkStart w:id="2" w:name="_Toc2"/>
      <w:r>
        <w:t>Course objectives</w:t>
      </w:r>
      <w:bookmarkEnd w:id="2"/>
    </w:p>
    <w:p>
      <w:pPr>
        <w:spacing w:after="80"/>
      </w:pPr>
      <w:r>
        <w:rPr/>
        <w:t xml:space="preserve">Bu dersin amacı, fizyoterapi ve rehabilitasyon alanında gelişim süreci içerisinde bireylerin ilgi, yetenek ve değerleri doğrultusunda kendini tanıma, kariyer gelişim kuramlarına göre kariyer planlama ve örgün eğitim sonrası kariyer planlamasında neler yapılabileceğine ilişkin bilgi ve becerilerin kazandırmaktır.</w:t>
      </w:r>
    </w:p>
    <w:p>
      <w:pPr>
        <w:pStyle w:val="Heading2"/>
      </w:pPr>
      <w:bookmarkStart w:id="3" w:name="_Toc3"/>
      <w:r>
        <w:t>Course content</w:t>
      </w:r>
      <w:bookmarkEnd w:id="3"/>
    </w:p>
    <w:p>
      <w:pPr>
        <w:spacing w:after="80"/>
      </w:pPr>
      <w:r>
        <w:rPr/>
        <w:t xml:space="preserve">Fizyoterapi ve rehabilitasyon alanında gelişim süreci içerisinde bireylerin ilgi, yetenek ve değerleri doğrultusunda kendini tanıma, kariyer gelişim kuramlarına göre kariyer planlama ve örgün eğitim sonrası kariyer planlamasında neler yapılabileceğine ilişkin bilgi ve becerilerin kazandırmaktır.</w:t>
      </w:r>
    </w:p>
    <w:p>
      <w:pPr>
        <w:pStyle w:val="Heading2"/>
      </w:pPr>
      <w:bookmarkStart w:id="4" w:name="_Toc4"/>
      <w:r>
        <w:t>Learning outcomes</w:t>
      </w:r>
      <w:bookmarkEnd w:id="4"/>
    </w:p>
    <w:p>
      <w:pPr>
        <w:spacing w:after="60"/>
      </w:pPr>
      <w:r>
        <w:rPr/>
        <w:t xml:space="preserve">1. Öğrenciler kariyer planlamasının prensiplerini ifade eder.</w:t>
      </w:r>
    </w:p>
    <w:p>
      <w:pPr>
        <w:spacing w:after="60"/>
      </w:pPr>
      <w:r>
        <w:rPr/>
        <w:t xml:space="preserve">2. Öğrenciler kariyer planlamasının yöntem ve tekniklerini kullanır ve karakter özelliklerinin meslek seçimine etkilerini tartışır.</w:t>
      </w:r>
    </w:p>
    <w:p>
      <w:pPr>
        <w:spacing w:after="60"/>
      </w:pPr>
      <w:r>
        <w:rPr/>
        <w:t xml:space="preserve">3. Öğrenciler kariyer gelişim evrelerini açıklar.</w:t>
      </w:r>
    </w:p>
    <w:p>
      <w:pPr>
        <w:spacing w:after="60"/>
      </w:pPr>
      <w:r>
        <w:rPr/>
        <w:t xml:space="preserve">4. Öğrenciler eğitsel derecelendirmeye göre kariyer gelişim süreci ve hizmetlerini planlar.</w:t>
      </w:r>
    </w:p>
    <w:p>
      <w:pPr>
        <w:pStyle w:val="Heading2"/>
      </w:pPr>
      <w:bookmarkStart w:id="5" w:name="_Toc5"/>
      <w:r>
        <w:t>Weekly topics</w:t>
      </w:r>
      <w:bookmarkEnd w:id="5"/>
    </w:p>
    <w:tbl>
      <w:tblGrid>
        <w:gridCol/>
        <w:gridCol/>
      </w:tblGrid>
      <w:tblPr>
        <w:tblStyle w:val="grid"/>
      </w:tblPr>
      <w:tr>
        <w:trPr/>
        <w:tc>
          <w:tcPr>
            <w:noWrap/>
          </w:tcPr>
          <w:p>
            <w:pPr/>
            <w:r>
              <w:rPr>
                <w:b w:val="1"/>
                <w:bCs w:val="1"/>
              </w:rPr>
              <w:t xml:space="preserve">Week</w:t>
            </w:r>
          </w:p>
        </w:tc>
        <w:tc>
          <w:tcPr>
            <w:noWrap/>
          </w:tcPr>
          <w:p>
            <w:pPr/>
            <w:r>
              <w:rPr>
                <w:b w:val="1"/>
                <w:bCs w:val="1"/>
              </w:rPr>
              <w:t xml:space="preserve">Subject</w:t>
            </w:r>
          </w:p>
        </w:tc>
      </w:tr>
      <w:tr>
        <w:trPr/>
        <w:tc>
          <w:tcPr>
            <w:noWrap/>
          </w:tcPr>
          <w:p>
            <w:pPr/>
            <w:r>
              <w:rPr/>
              <w:t xml:space="preserve">1</w:t>
            </w:r>
          </w:p>
        </w:tc>
        <w:tc>
          <w:tcPr>
            <w:noWrap/>
          </w:tcPr>
          <w:p>
            <w:pPr/>
            <w:r>
              <w:rPr/>
              <w:t xml:space="preserve">Kariyer kavramı: Giriş ve temel kavramlar</w:t>
            </w:r>
          </w:p>
        </w:tc>
      </w:tr>
      <w:tr>
        <w:trPr/>
        <w:tc>
          <w:tcPr>
            <w:noWrap/>
          </w:tcPr>
          <w:p>
            <w:pPr/>
            <w:r>
              <w:rPr/>
              <w:t xml:space="preserve">2</w:t>
            </w:r>
          </w:p>
        </w:tc>
        <w:tc>
          <w:tcPr>
            <w:noWrap/>
          </w:tcPr>
          <w:p>
            <w:pPr/>
            <w:r>
              <w:rPr/>
              <w:t xml:space="preserve">Kariyer planlaması ve öğrencinin rolü</w:t>
            </w:r>
          </w:p>
        </w:tc>
      </w:tr>
      <w:tr>
        <w:trPr/>
        <w:tc>
          <w:tcPr>
            <w:noWrap/>
          </w:tcPr>
          <w:p>
            <w:pPr/>
            <w:r>
              <w:rPr/>
              <w:t xml:space="preserve">3</w:t>
            </w:r>
          </w:p>
        </w:tc>
        <w:tc>
          <w:tcPr>
            <w:noWrap/>
          </w:tcPr>
          <w:p>
            <w:pPr/>
            <w:r>
              <w:rPr/>
              <w:t xml:space="preserve">Bireysel kariyer gelişimi: Kariyer yolu çizmede öz farkındalık, kişisel gelişim ve kariyer hedeflerini oluşturma (kısa ve uzun dönem hedefler). Smart hedef kullanımı, grow modeli ve swot analizi Pratik: Özgeçmiş hazırlama</w:t>
            </w:r>
          </w:p>
        </w:tc>
      </w:tr>
      <w:tr>
        <w:trPr/>
        <w:tc>
          <w:tcPr>
            <w:noWrap/>
          </w:tcPr>
          <w:p>
            <w:pPr/>
            <w:r>
              <w:rPr/>
              <w:t xml:space="preserve">4</w:t>
            </w:r>
          </w:p>
        </w:tc>
        <w:tc>
          <w:tcPr>
            <w:noWrap/>
          </w:tcPr>
          <w:p>
            <w:pPr/>
            <w:r>
              <w:rPr/>
              <w:t xml:space="preserve">Kanıta dayalı uygulama</w:t>
            </w:r>
          </w:p>
        </w:tc>
      </w:tr>
      <w:tr>
        <w:trPr/>
        <w:tc>
          <w:tcPr>
            <w:noWrap/>
          </w:tcPr>
          <w:p>
            <w:pPr/>
            <w:r>
              <w:rPr/>
              <w:t xml:space="preserve">5</w:t>
            </w:r>
          </w:p>
        </w:tc>
        <w:tc>
          <w:tcPr>
            <w:noWrap/>
          </w:tcPr>
          <w:p>
            <w:pPr/>
            <w:r>
              <w:rPr/>
              <w:t xml:space="preserve">Geleneksel kariyer yolu, fizyoterapide kariyer basamakları ve kariyer gelişiminin sürdürülmesi</w:t>
            </w:r>
          </w:p>
        </w:tc>
      </w:tr>
      <w:tr>
        <w:trPr/>
        <w:tc>
          <w:tcPr>
            <w:noWrap/>
          </w:tcPr>
          <w:p>
            <w:pPr/>
            <w:r>
              <w:rPr/>
              <w:t xml:space="preserve">6</w:t>
            </w:r>
          </w:p>
        </w:tc>
        <w:tc>
          <w:tcPr>
            <w:noWrap/>
          </w:tcPr>
          <w:p>
            <w:pPr/>
            <w:r>
              <w:rPr/>
              <w:t xml:space="preserve">Fizyoterapide kariyer seçenekleri ve sektörel alanlar</w:t>
            </w:r>
          </w:p>
        </w:tc>
      </w:tr>
      <w:tr>
        <w:trPr/>
        <w:tc>
          <w:tcPr>
            <w:noWrap/>
          </w:tcPr>
          <w:p>
            <w:pPr/>
            <w:r>
              <w:rPr/>
              <w:t xml:space="preserve">7</w:t>
            </w:r>
          </w:p>
        </w:tc>
        <w:tc>
          <w:tcPr>
            <w:noWrap/>
          </w:tcPr>
          <w:p>
            <w:pPr/>
            <w:r>
              <w:rPr/>
              <w:t xml:space="preserve">İnterdisipliner ve multidisipliner çalışma modellerinde fizyoterapist</w:t>
            </w:r>
          </w:p>
        </w:tc>
      </w:tr>
      <w:tr>
        <w:trPr/>
        <w:tc>
          <w:tcPr>
            <w:noWrap/>
          </w:tcPr>
          <w:p>
            <w:pPr/>
            <w:r>
              <w:rPr/>
              <w:t xml:space="preserve">8</w:t>
            </w:r>
          </w:p>
        </w:tc>
        <w:tc>
          <w:tcPr>
            <w:noWrap/>
          </w:tcPr>
          <w:p>
            <w:pPr/>
            <w:r>
              <w:rPr/>
              <w:t xml:space="preserve">ARA SINAV</w:t>
            </w:r>
          </w:p>
        </w:tc>
      </w:tr>
      <w:tr>
        <w:trPr/>
        <w:tc>
          <w:tcPr>
            <w:noWrap/>
          </w:tcPr>
          <w:p>
            <w:pPr/>
            <w:r>
              <w:rPr/>
              <w:t xml:space="preserve">9</w:t>
            </w:r>
          </w:p>
        </w:tc>
        <w:tc>
          <w:tcPr>
            <w:noWrap/>
          </w:tcPr>
          <w:p>
            <w:pPr/>
            <w:r>
              <w:rPr/>
              <w:t xml:space="preserve">Mezuniyet sonrası eğitimler ve yaşam boyu öğrenme</w:t>
            </w:r>
          </w:p>
        </w:tc>
      </w:tr>
      <w:tr>
        <w:trPr/>
        <w:tc>
          <w:tcPr>
            <w:noWrap/>
          </w:tcPr>
          <w:p>
            <w:pPr/>
            <w:r>
              <w:rPr/>
              <w:t xml:space="preserve">10</w:t>
            </w:r>
          </w:p>
        </w:tc>
        <w:tc>
          <w:tcPr>
            <w:noWrap/>
          </w:tcPr>
          <w:p>
            <w:pPr/>
            <w:r>
              <w:rPr/>
              <w:t xml:space="preserve">Yurtdışı kariyer olanakları ve fizyoterapi hizmetleri değişim programları ve burslar</w:t>
            </w:r>
          </w:p>
        </w:tc>
      </w:tr>
      <w:tr>
        <w:trPr/>
        <w:tc>
          <w:tcPr>
            <w:noWrap/>
          </w:tcPr>
          <w:p>
            <w:pPr/>
            <w:r>
              <w:rPr/>
              <w:t xml:space="preserve">11</w:t>
            </w:r>
          </w:p>
        </w:tc>
        <w:tc>
          <w:tcPr>
            <w:noWrap/>
          </w:tcPr>
          <w:p>
            <w:pPr/>
            <w:r>
              <w:rPr/>
              <w:t xml:space="preserve">Akademik kariyer planlama: lisansüstü eğitim sınavlar</w:t>
            </w:r>
          </w:p>
        </w:tc>
      </w:tr>
      <w:tr>
        <w:trPr/>
        <w:tc>
          <w:tcPr>
            <w:noWrap/>
          </w:tcPr>
          <w:p>
            <w:pPr/>
            <w:r>
              <w:rPr/>
              <w:t xml:space="preserve">12</w:t>
            </w:r>
          </w:p>
        </w:tc>
        <w:tc>
          <w:tcPr>
            <w:noWrap/>
          </w:tcPr>
          <w:p>
            <w:pPr/>
            <w:r>
              <w:rPr/>
              <w:t xml:space="preserve">Fizyoterapide girişimcilik: mevzuat, kanunlar, görev, sorumluluk ve modeller</w:t>
            </w:r>
          </w:p>
        </w:tc>
      </w:tr>
      <w:tr>
        <w:trPr/>
        <w:tc>
          <w:tcPr>
            <w:noWrap/>
          </w:tcPr>
          <w:p>
            <w:pPr/>
            <w:r>
              <w:rPr/>
              <w:t xml:space="preserve">13</w:t>
            </w:r>
          </w:p>
        </w:tc>
        <w:tc>
          <w:tcPr>
            <w:noWrap/>
          </w:tcPr>
          <w:p>
            <w:pPr/>
            <w:r>
              <w:rPr/>
              <w:t xml:space="preserve">İş görüşmesi, mülakat, niyet mektubu ve maaş pazarlık sanatı</w:t>
            </w:r>
          </w:p>
        </w:tc>
      </w:tr>
      <w:tr>
        <w:trPr/>
        <w:tc>
          <w:tcPr>
            <w:noWrap/>
          </w:tcPr>
          <w:p>
            <w:pPr/>
            <w:r>
              <w:rPr/>
              <w:t xml:space="preserve">14</w:t>
            </w:r>
          </w:p>
        </w:tc>
        <w:tc>
          <w:tcPr>
            <w:noWrap/>
          </w:tcPr>
          <w:p>
            <w:pPr/>
            <w:r>
              <w:rPr/>
              <w:t xml:space="preserve">Fizyoterapide iletişim ağı geliştirme: Diğer paydaşlarla tanışma</w:t>
            </w:r>
          </w:p>
        </w:tc>
      </w:tr>
      <w:tr>
        <w:trPr/>
        <w:tc>
          <w:tcPr>
            <w:noWrap/>
          </w:tcPr>
          <w:p>
            <w:pPr/>
            <w:r>
              <w:rPr/>
              <w:t xml:space="preserve">15</w:t>
            </w:r>
          </w:p>
        </w:tc>
        <w:tc>
          <w:tcPr>
            <w:noWrap/>
          </w:tcPr>
          <w:p>
            <w:pPr/>
            <w:r>
              <w:rPr/>
              <w:t xml:space="preserve">Fizyoterapi ve rehabilitasyon mesleğine yenilikçi çerçeveden bakış açısı, mikro ve makro yeterlilikler</w:t>
            </w:r>
          </w:p>
        </w:tc>
      </w:tr>
      <w:tr>
        <w:trPr/>
        <w:tc>
          <w:tcPr>
            <w:noWrap/>
          </w:tcPr>
          <w:p>
            <w:pPr/>
            <w:r>
              <w:rPr/>
              <w:t xml:space="preserve">16</w:t>
            </w:r>
          </w:p>
        </w:tc>
        <w:tc>
          <w:tcPr>
            <w:noWrap/>
          </w:tcPr>
          <w:p>
            <w:pPr/>
            <w:r>
              <w:rPr/>
              <w:t xml:space="preserve">YARIYIL SONU SINAVI</w:t>
            </w:r>
          </w:p>
        </w:tc>
      </w:tr>
    </w:tbl>
    <w:p>
      <w:pPr>
        <w:pStyle w:val="Heading2"/>
      </w:pPr>
      <w:bookmarkStart w:id="6" w:name="_Toc6"/>
      <w:r>
        <w:t>Yarıyıl (Yıl) İçi Etkinlikleri</w:t>
      </w:r>
      <w:bookmarkEnd w:id="6"/>
    </w:p>
    <w:tbl>
      <w:tblGrid>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Percentage</w:t>
            </w:r>
          </w:p>
        </w:tc>
      </w:tr>
      <w:tr>
        <w:trPr/>
        <w:tc>
          <w:tcPr>
            <w:noWrap/>
          </w:tcPr>
          <w:p>
            <w:pPr/>
            <w:r>
              <w:rPr/>
              <w:t xml:space="preserve">Ara Sınav</w:t>
            </w:r>
          </w:p>
        </w:tc>
        <w:tc>
          <w:tcPr>
            <w:noWrap/>
          </w:tcPr>
          <w:p>
            <w:pPr/>
            <w:r>
              <w:rPr/>
              <w:t xml:space="preserve">1</w:t>
            </w:r>
          </w:p>
        </w:tc>
        <w:tc>
          <w:tcPr>
            <w:noWrap/>
          </w:tcPr>
          <w:p>
            <w:pPr/>
            <w:r>
              <w:rPr/>
              <w:t xml:space="preserve">%100</w:t>
            </w:r>
          </w:p>
        </w:tc>
      </w:tr>
    </w:tbl>
    <w:p>
      <w:pPr>
        <w:pStyle w:val="Heading2"/>
      </w:pPr>
      <w:bookmarkStart w:id="7" w:name="_Toc7"/>
      <w:r>
        <w:t>Yarıyıl (Yıl) Sonu Etkinlikleri</w:t>
      </w:r>
      <w:bookmarkEnd w:id="7"/>
    </w:p>
    <w:tbl>
      <w:tblGrid>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Percentage</w:t>
            </w:r>
          </w:p>
        </w:tc>
      </w:tr>
      <w:tr>
        <w:trPr/>
        <w:tc>
          <w:tcPr>
            <w:noWrap/>
          </w:tcPr>
          <w:p>
            <w:pPr/>
            <w:r>
              <w:rPr/>
              <w:t xml:space="preserve">Yarıyıl Sonu Sınavı</w:t>
            </w:r>
          </w:p>
        </w:tc>
        <w:tc>
          <w:tcPr>
            <w:noWrap/>
          </w:tcPr>
          <w:p>
            <w:pPr/>
            <w:r>
              <w:rPr/>
              <w:t xml:space="preserve">1</w:t>
            </w:r>
          </w:p>
        </w:tc>
        <w:tc>
          <w:tcPr>
            <w:noWrap/>
          </w:tcPr>
          <w:p>
            <w:pPr/>
            <w:r>
              <w:rPr/>
              <w:t xml:space="preserve">%100</w:t>
            </w:r>
          </w:p>
        </w:tc>
      </w:tr>
    </w:tbl>
    <w:p>
      <w:pPr>
        <w:pStyle w:val="Heading2"/>
      </w:pPr>
      <w:bookmarkStart w:id="8" w:name="_Toc8"/>
      <w:r>
        <w:t>Yarıyıl(yıl) içi etkinliklerin ve yarıyıl(yıl) sonu sınavının başarı notuna katkısı</w:t>
      </w:r>
      <w:bookmarkEnd w:id="8"/>
    </w:p>
    <w:tbl>
      <w:tblGrid>
        <w:gridCol/>
        <w:gridCol/>
        <w:gridCol/>
      </w:tblGrid>
      <w:tblPr>
        <w:tblStyle w:val="grid"/>
      </w:tblPr>
      <w:tr>
        <w:trPr/>
        <w:tc>
          <w:tcPr>
            <w:noWrap/>
          </w:tcPr>
          <w:p>
            <w:pPr/>
            <w:r>
              <w:rPr>
                <w:b w:val="1"/>
                <w:bCs w:val="1"/>
              </w:rPr>
              <w:t xml:space="preserve">Event</w:t>
            </w:r>
          </w:p>
        </w:tc>
        <w:tc>
          <w:tcPr>
            <w:noWrap/>
          </w:tcPr>
          <w:p>
            <w:pPr/>
            <w:r>
              <w:rPr>
                <w:b w:val="1"/>
                <w:bCs w:val="1"/>
              </w:rPr>
              <w:t xml:space="preserve">Number</w:t>
            </w:r>
          </w:p>
        </w:tc>
        <w:tc>
          <w:tcPr>
            <w:noWrap/>
          </w:tcPr>
          <w:p>
            <w:pPr/>
            <w:r>
              <w:rPr>
                <w:b w:val="1"/>
                <w:bCs w:val="1"/>
              </w:rPr>
              <w:t xml:space="preserve">Percentage</w:t>
            </w:r>
          </w:p>
        </w:tc>
      </w:tr>
      <w:tr>
        <w:trPr/>
        <w:tc>
          <w:tcPr>
            <w:noWrap/>
          </w:tcPr>
          <w:p>
            <w:pPr/>
            <w:r>
              <w:rPr/>
              <w:t xml:space="preserve">Yarıyıl (Yıl) Sonu Etkinlikleri</w:t>
            </w:r>
          </w:p>
        </w:tc>
        <w:tc>
          <w:tcPr>
            <w:noWrap/>
          </w:tcPr>
          <w:p>
            <w:pPr/>
            <w:r>
              <w:rPr/>
              <w:t xml:space="preserve">0</w:t>
            </w:r>
          </w:p>
        </w:tc>
        <w:tc>
          <w:tcPr>
            <w:noWrap/>
          </w:tcPr>
          <w:p>
            <w:pPr/>
            <w:r>
              <w:rPr/>
              <w:t xml:space="preserve">%60</w:t>
            </w:r>
          </w:p>
        </w:tc>
      </w:tr>
      <w:tr>
        <w:trPr/>
        <w:tc>
          <w:tcPr>
            <w:noWrap/>
          </w:tcPr>
          <w:p>
            <w:pPr/>
            <w:r>
              <w:rPr/>
              <w:t xml:space="preserve">Yarıyıl (Yıl) İçi Etkinlikleri</w:t>
            </w:r>
          </w:p>
        </w:tc>
        <w:tc>
          <w:tcPr>
            <w:noWrap/>
          </w:tcPr>
          <w:p>
            <w:pPr/>
            <w:r>
              <w:rPr/>
              <w:t xml:space="preserve">0</w:t>
            </w:r>
          </w:p>
        </w:tc>
        <w:tc>
          <w:tcPr>
            <w:noWrap/>
          </w:tcPr>
          <w:p>
            <w:pPr/>
            <w:r>
              <w:rPr/>
              <w:t xml:space="preserve">%40</w:t>
            </w:r>
          </w:p>
        </w:tc>
      </w:tr>
    </w:tbl>
    <w:sectPr>
      <w:pgSz w:orient="portrait" w:w="11905.511811023622" w:h="16837.79527559055"/>
      <w:pgMar w:top="900" w:right="900" w:bottom="900" w:left="9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12294A"/>
      <w:sz w:val="36"/>
      <w:szCs w:val="36"/>
      <w:b w:val="1"/>
      <w:bCs w:val="1"/>
    </w:rPr>
  </w:style>
  <w:style w:type="paragraph" w:styleId="Heading2">
    <w:link w:val="Heading2Char"/>
    <w:name w:val="heading 2"/>
    <w:basedOn w:val="Normal"/>
    <w:pPr>
      <w:spacing w:before="240" w:after="100"/>
    </w:pPr>
    <w:rPr>
      <w:color w:val="12294A"/>
      <w:sz w:val="26"/>
      <w:szCs w:val="26"/>
      <w:b w:val="1"/>
      <w:bCs w:val="1"/>
    </w:rPr>
  </w:style>
  <w:style w:type="table" w:customStyle="1" w:styleId="grid">
    <w:name w:val="grid"/>
    <w:uiPriority w:val="99"/>
    <w:tblPr>
      <w:tblW w:w="0" w:type="auto"/>
      <w:tblLayout w:type="autofit"/>
      <w:tblCellMar>
        <w:top w:w="60" w:type="dxa"/>
        <w:left w:w="60" w:type="dxa"/>
        <w:right w:w="60" w:type="dxa"/>
        <w:bottom w:w="60" w:type="dxa"/>
      </w:tblCellMar>
      <w:tblBorders>
        <w:top w:val="single" w:sz="4" w:color="D9DEE6"/>
        <w:left w:val="single" w:sz="4" w:color="D9DEE6"/>
        <w:right w:val="single" w:sz="4" w:color="D9DEE6"/>
        <w:bottom w:val="single" w:sz="4" w:color="D9DEE6"/>
        <w:insideH w:val="single" w:sz="4" w:color="D9DEE6"/>
        <w:insideV w:val="single" w:sz="4" w:color="D9DEE6"/>
      </w:tblBorders>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2026-10-26T16:32:29+03:00</dcterms:created>
  <dcterms:modified xsi:type="dcterms:W3CDTF">2026-10-26T16:32:29+03:00</dcterms:modified>
</cp:coreProperties>
</file>

<file path=docProps/custom.xml><?xml version="1.0" encoding="utf-8"?>
<Properties xmlns="http://schemas.openxmlformats.org/officeDocument/2006/custom-properties" xmlns:vt="http://schemas.openxmlformats.org/officeDocument/2006/docPropsVTypes"/>
</file>