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PAZARLAMA YÖNETİMİ VE STRATEJİSİ</w:t>
      </w:r>
      <w:bookmarkEnd w:id="0"/>
    </w:p>
    <w:p>
      <w:pPr/>
      <w:r>
        <w:rPr>
          <w:color w:val="5B6577"/>
        </w:rPr>
        <w:t xml:space="preserve">ISL6018 · Business Administration Doctoral Programme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2026-10-26T19:46:16+03:00</dcterms:created>
  <dcterms:modified xsi:type="dcterms:W3CDTF">2026-10-26T19:46:16+03:00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