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ULUSLARARASI İŞLETMECİLİK</w:t>
      </w:r>
      <w:bookmarkEnd w:id="0"/>
    </w:p>
    <w:p>
      <w:pPr/>
      <w:r>
        <w:rPr>
          <w:color w:val="5B6577"/>
        </w:rPr>
        <w:t xml:space="preserve">ISL5010 · Business Administration Master's Programme (Non-Thesis)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2026-10-26T19:46:35+03:00</dcterms:created>
  <dcterms:modified xsi:type="dcterms:W3CDTF">2026-10-26T19:46:35+03:00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