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Business Administration Master's Programme (Thesis)</w:t>
      </w:r>
      <w:bookmarkEnd w:id="0"/>
    </w:p>
    <w:p>
      <w:pPr/>
      <w:r>
        <w:rPr>
          <w:color w:val="5B6577"/>
        </w:rPr>
        <w:t xml:space="preserve">Graduate Education Institute · Master's · Bologna course information package · İŞLETME TEZLİ 2025 MÜFREDATI</w:t>
      </w:r>
    </w:p>
    <w:p>
      <w:pPr>
        <w:pStyle w:val="Heading2"/>
      </w:pPr>
      <w:bookmarkStart w:id="1" w:name="_Toc1"/>
      <w:r>
        <w:t>Program overview</w:t>
      </w:r>
      <w:bookmarkEnd w:id="1"/>
    </w:p>
    <w:p>
      <w:pPr>
        <w:spacing w:before="120"/>
      </w:pPr>
      <w:r>
        <w:rPr>
          <w:b w:val="1"/>
          <w:bCs w:val="1"/>
        </w:rPr>
        <w:t xml:space="preserve">Kuruluş</w:t>
      </w:r>
    </w:p>
    <w:p>
      <w:pPr/>
      <w:r>
        <w:rPr/>
        <w:t xml:space="preserve">Toros Üniversitesi Sosyal Bilimler Enstitüsü, üniversitenin kuruluş tarihi olan 23 Haziran 2009 tarihinde, 5913/1 sayılı kanun ile kurulmuş ve kuruluşu 07 Temmuz 2009 tarihli 27281 sayılı Resmi Gazete'de yayımlanmıştır. Üniversitemiz Rektörlüğünün 08.04.2020 tarihli ve 72061252-100/291 sayılı yazısı ile, Cumhurbaşkanlığı’nın 27 Mart 2020 tarihli ve 2319 sayılı kararı ile Üniversitemizin Fen Bilimleri Enstitüsü ve Sosyal Bilimler Enstitüsü kapatılarak, yerine Lisansüstü Eğitim Enstitüsü kurulmuştur. İşletme Yüksek Lisans programı, YÖK tarafından 05 Nisan 2012 tarihinde onaylanmıştır.</w:t>
      </w:r>
    </w:p>
    <w:p>
      <w:pPr>
        <w:spacing w:before="120"/>
      </w:pPr>
      <w:r>
        <w:rPr>
          <w:b w:val="1"/>
          <w:bCs w:val="1"/>
        </w:rPr>
        <w:t xml:space="preserve">Kazanılan Derece</w:t>
      </w:r>
    </w:p>
    <w:p>
      <w:pPr/>
      <w:r>
        <w:rPr/>
        <w:t xml:space="preserve">İşletme Yüksek Lisans Derecesi (Tezli)</w:t>
      </w:r>
    </w:p>
    <w:p>
      <w:pPr>
        <w:spacing w:before="120"/>
      </w:pPr>
      <w:r>
        <w:rPr>
          <w:b w:val="1"/>
          <w:bCs w:val="1"/>
        </w:rPr>
        <w:t xml:space="preserve">Derecenin Düzeyi (Ön Lisans , Lisans, Yüksek Lisans, Doktora)</w:t>
      </w:r>
    </w:p>
    <w:p>
      <w:pPr/>
      <w:r>
        <w:rPr/>
        <w:t xml:space="preserve">Yüksek Lisans</w:t>
      </w:r>
    </w:p>
    <w:p>
      <w:pPr>
        <w:spacing w:before="120"/>
      </w:pPr>
      <w:r>
        <w:rPr>
          <w:b w:val="1"/>
          <w:bCs w:val="1"/>
        </w:rPr>
        <w:t xml:space="preserve">Kabul ve Kayıt Koşulları</w:t>
      </w:r>
    </w:p>
    <w:p>
      <w:pPr/>
      <w:r>
        <w:rPr/>
        <w:t xml:space="preserve">Programa başvuracak adaylar ilanda belirtilen süre içerisinde lisans yada tezli yüksek lisans diploması/mezuniyet belgesi, mezuniyet işlemleri devam edenlerin bu durumunu belirten belgesi, lisans öğrenimini yurt dışında tamamlayan adayların YÖK denklik belgesi, başvurduğu programın puan türünde en az 55.00 puana sahip ALES belgesi, ALES belgesi yerine GRE, GMAT ve benzeri eşdeğer uluslararası sınav belgesi, not çizelgesi ve ilanda belirtilen diğer belgeler ile enstitüye başvururlar. Başvuru duyurusunda belirtilmek kaydı ile, sadece yazılı sınav, sadece mülakat veya her ikisi birden yapılabilir ya da sadece belgeler üzerinden de değerlendirilme yapılarak adaylar programa kaydedilebilir. Kayıt hakkını kazanan adayların listesi, EYK kararı ile kesinleşir ve enstitü tarafından ilan edilir. Kazanan adaylar, enstitü tarafından istenen belgeleri akademik takvimde ilan edilen günlerde enstitüye vererek kesin kayıtlarını yaptırırlar. Kayıt işlemlerini süresi içinde yaptırmayan adaylar Üniversite öğrencisi olma hakkından vazgeçmiş sayılır ve herhangi bir hak iddia edemezler. Kesin kayıt yaptırmayan adayların yerine ilan edilen günlerde yedekler başarı sırasına göre kayıtlarını yaptırırlar.</w:t>
      </w:r>
    </w:p>
    <w:p>
      <w:pPr>
        <w:spacing w:before="120"/>
      </w:pPr>
      <w:r>
        <w:rPr>
          <w:b w:val="1"/>
          <w:bCs w:val="1"/>
        </w:rPr>
        <w:t xml:space="preserve">Önceki Öğrenmenin Tanınması</w:t>
      </w:r>
    </w:p>
    <w:p>
      <w:pPr/>
      <w:r>
        <w:rPr/>
        <w:t xml:space="preserve">İlan edilen yatay geçiş kontenjanlarına, Üniversitenin aynı veya başka enstitülerine bağlı ana bilim dalları veya başka bir yükseköğretim kurumunun lisansüstü programında en az bir yarıyılını tamamlamış olan ve disiplin cezası almamış öğrenciler başvurabilirler. Ders eşdeğerliliği yapılırken, başvurulan programdaki zorunlu derslerin içerikleri ile öğrencinin önceki programdan almış olduklarından eşdeğer sayılacak derslerin içeriklerinin birbirleri ile en az yüzde 70 örtüşmeleri zorunludur. Seçmeli dersler için yapılacak eşdeğerlilikte bu şart aranmaz. Eşdeğerliliği kabul edilecek dersler arasında kredi eksikliği varsa, 1 krediye kadar bu eksiklik kabul edilebilir. Öğrenci, programa kayıt yaptırmadan önce, tamamlanmamış başka bir programdan almış olduğu (AA), (BA), (BB), (CB) veya (CC) ile başarılı olduğu ve üzerinden üç yıl geçmemiş olan en fazla üç dersi, öğrencinin talebi, danışmanın onayı ve ABD kurulunun önerisi ve EYK kararı ile kayıtlı olduğu programa saydırabilir. Lisansüstü programa kabul edilen öğrencilerin özel öğrenci olarak aldığı ve başarılı olduğu derslerin muafiyet işlemlerinde muafiyet verilen dersler, ilgili lisansüstü programda verilen derslerin %50’sini geçemez.İlan edilen yatay geçiş kontenjanlarına, Üniversitenin aynı veya başka enstitülerine bağlı ana bilim dalları veya başka bir yükseköğretim kurumunun lisansüstü programında en az bir yarıyılını tamamlamış olan ve disiplin cezası almamış öğrenciler başvurabilirler. Ders eşdeğerliliği yapılırken, başvurulan programdaki zorunlu derslerin içerikleri ile öğrencinin önceki programdan almış olduklarından eşdeğer sayılacak derslerin içeriklerinin birbirleri ile en az yüzde 70 örtüşmeleri zorunludur. Seçmeli dersler için yapılacak eşdeğerlilikte bu şart aranmaz. Eşdeğerliliği kabul edilecek dersler arasında kredi eksikliği varsa, 1 krediye kadar bu eksiklik kabul edilebilir. Öğrenci, programa kayıt yaptırmadan önce, tamamlanmamış başka bir programdan almış olduğu (AA), (BA), (BB), (CB) veya (CC) ile başarılı olduğu ve üzerinden üç yıl geçmemiş olan en fazla üç dersi, öğrencinin talebi, danışmanın onayı ve ABD kurulunun önerisi ve EYK kararı ile kayıtlı olduğu programa saydırabilir. Lisansüstü programa kabul edilen öğrencilerin özel öğrenci olarak aldığı ve başarılı olduğu derslerin muafiyet işlemlerinde muafiyet verilen dersler, ilgili lisansüstü programda verilen derslerin %50’sini geçemez.</w:t>
      </w:r>
    </w:p>
    <w:p>
      <w:pPr>
        <w:spacing w:before="120"/>
      </w:pPr>
      <w:r>
        <w:rPr>
          <w:b w:val="1"/>
          <w:bCs w:val="1"/>
        </w:rPr>
        <w:t xml:space="preserve">Yeterlilik Koşulları ve Kuralları</w:t>
      </w:r>
    </w:p>
    <w:p>
      <w:pPr/>
      <w:r>
        <w:rPr/>
        <w:t xml:space="preserve">Tezli yüksek lisans programı toplam yirmi bir krediden az olmamak koşuluyla en az yedi ders, bir seminer dersi ve tez çalışmasından oluşur. Seminer dersi ve tez çalışması kredisiz olup başarılı veya başarısız olarak değerlendirilir. Tezli yüksek lisans programı bir eğitim-öğretim dönemi 60 AKTS kredisinden az olmamak koşuluyla seminer dersi dâhil en az sekiz ders ve tez çalışması olmak üzere toplam en az 120 AKTS kredisinden oluşur. Öğrenci, yüksek lisans tezi hazırlaması ve jüri önünde savunarak başarılı olması halinde mezuniyet hakkını kazanır.</w:t>
      </w:r>
    </w:p>
    <w:p>
      <w:pPr>
        <w:spacing w:before="120"/>
      </w:pPr>
      <w:r>
        <w:rPr>
          <w:b w:val="1"/>
          <w:bCs w:val="1"/>
        </w:rPr>
        <w:t xml:space="preserve">Program Profili</w:t>
      </w:r>
    </w:p>
    <w:p>
      <w:pPr/>
      <w:r>
        <w:rPr/>
        <w:t xml:space="preserve">Programın temel amacı, kamu ve özel sektörün gereksinim duyduğu, geleceğin girişimcilerini, yöneticilerini ve liderlerini yetiştirmektir. Program, öğrencilerin yönetim ve işletme fonksiyonları kapsamında teorik ve uygulamalı çağdaş bilgilerle donatılmalarını sağlayacak şekilde tasarlanmıştır.</w:t>
      </w:r>
    </w:p>
    <w:p>
      <w:pPr>
        <w:spacing w:before="120"/>
      </w:pPr>
      <w:r>
        <w:rPr>
          <w:b w:val="1"/>
          <w:bCs w:val="1"/>
        </w:rPr>
        <w:t xml:space="preserve">İstihdam Olanakları</w:t>
      </w:r>
    </w:p>
    <w:p>
      <w:pPr/>
      <w:r>
        <w:rPr/>
        <w:t xml:space="preserve">Mezunların çok geniş bir istihdam yelpazesi bulunmaktadır. Örnek vermek gerekirse mezunlarımız ihracat ve ticaret firmalarında, lojistik sektörde, belediyelerde, devlet kurum ve kuruluşlarında iş fırsatları bulmaktadırlar.</w:t>
      </w:r>
    </w:p>
    <w:p>
      <w:pPr>
        <w:spacing w:before="120"/>
      </w:pPr>
      <w:r>
        <w:rPr>
          <w:b w:val="1"/>
          <w:bCs w:val="1"/>
        </w:rPr>
        <w:t xml:space="preserve">Üst Derece Programlarına Geçit</w:t>
      </w:r>
    </w:p>
    <w:p>
      <w:pPr/>
      <w:r>
        <w:rPr/>
        <w:t xml:space="preserve">Tezli MBA programından mezun olanlar doktora programlarına başvurabilirler.</w:t>
      </w:r>
    </w:p>
    <w:p>
      <w:pPr>
        <w:spacing w:before="120"/>
      </w:pPr>
      <w:r>
        <w:rPr>
          <w:b w:val="1"/>
          <w:bCs w:val="1"/>
        </w:rPr>
        <w:t xml:space="preserve">Sınavlar, Ölçme ve Değerlendirme</w:t>
      </w:r>
    </w:p>
    <w:p>
      <w:pPr/>
      <w:r>
        <w:rPr/>
        <w:t xml:space="preserve">Bir yarıyılda her ders için en az bir ara sınav ve bir yarıyıl sonu sınavı yapılır. Yarıyıl sonu sınavının başarı notuna katkısı en az % 50 olup bu oran % 60’ı geçemez. Öğretim üyesi, ders planında belirtmek kaydıyla, ara sınav ve/veya dönem sonu sınavın yanı sıra dönem ödevi veya projesi gibi çalışmalar yaptırabilir. Bu çalışmaların başarı notuna etkisi en fazla % 20 oranında olabilir.</w:t>
      </w:r>
    </w:p>
    <w:p>
      <w:pPr>
        <w:spacing w:before="120"/>
      </w:pPr>
      <w:r>
        <w:rPr>
          <w:b w:val="1"/>
          <w:bCs w:val="1"/>
        </w:rPr>
        <w:t xml:space="preserve">Mezuniyet Koşulları</w:t>
      </w:r>
    </w:p>
    <w:p>
      <w:pPr/>
      <w:r>
        <w:rPr/>
        <w:t xml:space="preserve">Öğrencinin mezun olabilmesi için toplam yirmi bir krediden az olmamak koşuluyla en az yedi ders, bir seminer dersi ve tez çalışmasından başarılı olması, aldığı derslerin tümünün 100.00 tam puan üzerinden en az 70.00 (CC) ve 2.00 ve toplam en az 120 AKTS kredisi olması halinde mezun olabilir.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Ana Bilim Dalı Başkanı: Prof. Dr. Mert AKTAŞ
AKTS Koordinatörü: Doç. Dr. Metin OCAK</w:t>
      </w:r>
    </w:p>
    <w:p>
      <w:pPr>
        <w:spacing w:before="120"/>
      </w:pPr>
      <w:r>
        <w:rPr>
          <w:b w:val="1"/>
          <w:bCs w:val="1"/>
        </w:rPr>
        <w:t xml:space="preserve">Bölüm Olanakları</w:t>
      </w:r>
    </w:p>
    <w:p>
      <w:pPr/>
      <w:r>
        <w:rPr/>
        <w:t xml:space="preserve">Çalışan öğrencilerin derslere devam edebilmelerini sağlamak maksadıyla, dersler hafta iç akşam 18:00-21:00 saatleri arasında yapılmaktadır.</w:t>
      </w:r>
    </w:p>
    <w:p>
      <w:pPr>
        <w:pStyle w:val="Heading2"/>
      </w:pPr>
      <w:bookmarkStart w:id="2" w:name="_Toc2"/>
      <w:r>
        <w:t>Program outcomes</w:t>
      </w:r>
      <w:bookmarkEnd w:id="2"/>
    </w:p>
    <w:p>
      <w:pPr>
        <w:spacing w:after="60"/>
      </w:pPr>
      <w:r>
        <w:rPr/>
        <w:t xml:space="preserve">1. İşletme ve yönetim ile ilgili sorunları tanımlayabilmek (BİLGİ - Kuramsal Olgusal)</w:t>
      </w:r>
    </w:p>
    <w:p>
      <w:pPr>
        <w:spacing w:after="60"/>
      </w:pPr>
      <w:r>
        <w:rPr/>
        <w:t xml:space="preserve">2. Yönetim ve işletme fonksiyonları ile ilgili sorunları etkileyen faktörleri sınıflandırabilmek (BİLGİ - Kuramsal Olgusal)</w:t>
      </w:r>
    </w:p>
    <w:p>
      <w:pPr>
        <w:spacing w:after="60"/>
      </w:pPr>
      <w:r>
        <w:rPr/>
        <w:t xml:space="preserve">3. Bir işletme için stratejik yönetim sistemi geliştirebilmek (BECERİLER - Bilişsel Uygulamalı)</w:t>
      </w:r>
    </w:p>
    <w:p>
      <w:pPr>
        <w:spacing w:after="60"/>
      </w:pPr>
      <w:r>
        <w:rPr/>
        <w:t xml:space="preserve">4. Bir işletme için pazar araştırması yapabilmek (BECERİLER - Bilişsel Uygulamalı)</w:t>
      </w:r>
    </w:p>
    <w:p>
      <w:pPr>
        <w:spacing w:after="60"/>
      </w:pPr>
      <w:r>
        <w:rPr/>
        <w:t xml:space="preserve">5. Bir araştırmanın sonuçlarını kapsamlı bir rapor halinde ortaya koyabilmek (YETKİNLİKLER - Bağımsız Çalışabilme ve Sorumluluk Alabilme Yetkinliği)</w:t>
      </w:r>
    </w:p>
    <w:p>
      <w:pPr>
        <w:spacing w:after="60"/>
      </w:pPr>
      <w:r>
        <w:rPr/>
        <w:t xml:space="preserve">6. Bir işletmenin finansal durumunu yorumlayabilmek (YETKİNLİKLER - Öğrenme Yetkinliği)</w:t>
      </w:r>
    </w:p>
    <w:p>
      <w:pPr>
        <w:spacing w:after="60"/>
      </w:pPr>
      <w:r>
        <w:rPr/>
        <w:t xml:space="preserve">7. Ulusal ve uluslararası pazarlarda tüketici ve işletme dünyası ile ilgili gelişmeleri ve eğilimleri tartışabilmek (YETKİNLİKLER - İletişim ve Sosyal Yetkinlik)</w:t>
      </w:r>
    </w:p>
    <w:p>
      <w:pPr>
        <w:spacing w:after="60"/>
      </w:pPr>
      <w:r>
        <w:rPr/>
        <w:t xml:space="preserve">8. Teorik bilgileri işletme ve yönetim problemlerine uygulayabilmek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ISL5001</w:t>
            </w:r>
          </w:p>
        </w:tc>
        <w:tc>
          <w:tcPr>
            <w:tcW w:w="4000" w:type="dxa"/>
            <w:noWrap/>
          </w:tcPr>
          <w:p>
            <w:pPr/>
            <w:r>
              <w:rPr/>
              <w:t xml:space="preserve">BİLİM FELSEFESİ VE ARAŞTIRMA YÖNTEMLERİ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2026-10-26T15:52:13+03:00</dcterms:created>
  <dcterms:modified xsi:type="dcterms:W3CDTF">2026-10-26T15:52:13+03:00</dcterms:modified>
</cp:coreProperties>
</file>

<file path=docProps/custom.xml><?xml version="1.0" encoding="utf-8"?>
<Properties xmlns="http://schemas.openxmlformats.org/officeDocument/2006/custom-properties" xmlns:vt="http://schemas.openxmlformats.org/officeDocument/2006/docPropsVTypes"/>
</file>