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Mahkeme Büro Hizmetleri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Türk inkılabının niteliğini kavrar.</w:t>
      </w:r>
    </w:p>
    <w:p>
      <w:pPr>
        <w:spacing w:after="60"/>
      </w:pPr>
      <w:r>
        <w:rPr/>
        <w:t xml:space="preserve">2. Atatürk dönemi siyasi, ekonomik, sosyal ve kültür politikalarını ve inkılaplarını değerlendirir.</w:t>
      </w:r>
    </w:p>
    <w:p>
      <w:pPr>
        <w:spacing w:after="60"/>
      </w:pPr>
      <w:r>
        <w:rPr/>
        <w:t xml:space="preserve">3. Çok partili hayat öncesi ve Demokrat Parti dönemi siyaset, ekonomi, dış politika  ve kültür politikalarındaki sürekliliği ve kopuşları analiz eder.</w:t>
      </w:r>
    </w:p>
    <w:p>
      <w:pPr>
        <w:spacing w:after="60"/>
      </w:pPr>
      <w:r>
        <w:rPr/>
        <w:t xml:space="preserve">4. 1980 sonrası siyaset, ekonomi ve kültür politikalarını değerlendirir.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Atatürk 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2026-10-26T16:32:03+03:00</dcterms:created>
  <dcterms:modified xsi:type="dcterms:W3CDTF">2026-10-26T16:32:03+03:00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