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İNKİLAP TARİHİ I</w:t>
      </w:r>
      <w:bookmarkEnd w:id="0"/>
    </w:p>
    <w:p>
      <w:pPr/>
      <w:r>
        <w:rPr>
          <w:color w:val="5B6577"/>
        </w:rPr>
        <w:t xml:space="preserve">ATA101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Gazi Mustafa Kemal Atatürk’ün ulusal ve evrensel önemini ve liderlik özelliklerini analiz eder.</w:t>
      </w:r>
    </w:p>
    <w:p>
      <w:pPr>
        <w:spacing w:after="60"/>
      </w:pPr>
      <w:r>
        <w:rPr/>
        <w:t xml:space="preserve">2. Geçmiş ve bugün arasında bağlantı kurarak bugünü ve geleceği değerlendirir.</w:t>
      </w:r>
    </w:p>
    <w:p>
      <w:pPr>
        <w:spacing w:after="60"/>
      </w:pPr>
      <w:r>
        <w:rPr/>
        <w:t xml:space="preserve">3. Tarih metodolojisi yoluyla disiplinlinler arası ilişki kurar.</w:t>
      </w:r>
    </w:p>
    <w:p>
      <w:pPr>
        <w:spacing w:after="60"/>
      </w:pPr>
      <w:r>
        <w:rPr/>
        <w:t xml:space="preserve">4. Uluslaşma sürecinin önemini kavrar.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