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İNGİLİZCE II</w:t>
      </w:r>
      <w:bookmarkEnd w:id="0"/>
    </w:p>
    <w:p>
      <w:pPr/>
      <w:r>
        <w:rPr>
          <w:color w:val="5B6577"/>
        </w:rPr>
        <w:t xml:space="preserve">ING102 · Bilgisayar Programcılığı</w:t>
      </w:r>
    </w:p>
    <w:p>
      <w:pPr>
        <w:pStyle w:val="Heading2"/>
      </w:pPr>
      <w:bookmarkStart w:id="1" w:name="_Toc1"/>
      <w:r>
        <w:t>Genel bilgiler</w:t>
      </w:r>
      <w:bookmarkEnd w:id="1"/>
    </w:p>
    <w:tbl>
      <w:tblGrid>
        <w:gridCol/>
        <w:gridCol/>
      </w:tblGrid>
      <w:tblPr>
        <w:tblStyle w:val="grid"/>
      </w:tblPr>
      <w:tr>
        <w:trPr/>
        <w:tc>
          <w:tcPr>
            <w:noWrap/>
          </w:tcPr>
          <w:p>
            <w:pPr/>
            <w:r>
              <w:rPr>
                <w:b w:val="1"/>
                <w:bCs w:val="1"/>
              </w:rPr>
              <w:t xml:space="preserve">Bilgi</w:t>
            </w:r>
          </w:p>
        </w:tc>
        <w:tc>
          <w:tcPr>
            <w:noWrap/>
          </w:tcPr>
          <w:p>
            <w:pPr/>
            <w:r>
              <w:rPr>
                <w:b w:val="1"/>
                <w:bCs w:val="1"/>
              </w:rPr>
              <w:t xml:space="preserve">Değer</w:t>
            </w:r>
          </w:p>
        </w:tc>
      </w:tr>
      <w:tr>
        <w:trPr/>
        <w:tc>
          <w:tcPr>
            <w:noWrap/>
          </w:tcPr>
          <w:p>
            <w:pPr/>
            <w:r>
              <w:rPr/>
              <w:t xml:space="preserve">Yarıyıl</w:t>
            </w:r>
          </w:p>
        </w:tc>
        <w:tc>
          <w:tcPr>
            <w:noWrap/>
          </w:tcPr>
          <w:p>
            <w:pPr/>
            <w:r>
              <w:rPr/>
              <w:t xml:space="preserve">2</w:t>
            </w:r>
          </w:p>
        </w:tc>
      </w:tr>
      <w:tr>
        <w:trPr/>
        <w:tc>
          <w:tcPr>
            <w:noWrap/>
          </w:tcPr>
          <w:p>
            <w:pPr/>
            <w:r>
              <w:rPr/>
              <w:t xml:space="preserve">Türü</w:t>
            </w:r>
          </w:p>
        </w:tc>
        <w:tc>
          <w:tcPr>
            <w:noWrap/>
          </w:tcPr>
          <w:p>
            <w:pPr/>
            <w:r>
              <w:rPr/>
              <w:t xml:space="preserve">Zorunlu</w:t>
            </w:r>
          </w:p>
        </w:tc>
      </w:tr>
      <w:tr>
        <w:trPr/>
        <w:tc>
          <w:tcPr>
            <w:noWrap/>
          </w:tcPr>
          <w:p>
            <w:pPr/>
            <w:r>
              <w:rPr/>
              <w:t xml:space="preserve">Teori / Uygulama / Lab.</w:t>
            </w:r>
          </w:p>
        </w:tc>
        <w:tc>
          <w:tcPr>
            <w:noWrap/>
          </w:tcPr>
          <w:p>
            <w:pPr/>
            <w:r>
              <w:rPr/>
              <w:t xml:space="preserve">2 / 0 / 0</w:t>
            </w:r>
          </w:p>
        </w:tc>
      </w:tr>
      <w:tr>
        <w:trPr/>
        <w:tc>
          <w:tcPr>
            <w:noWrap/>
          </w:tcPr>
          <w:p>
            <w:pPr/>
            <w:r>
              <w:rPr/>
              <w:t xml:space="preserve">AKTS</w:t>
            </w:r>
          </w:p>
        </w:tc>
        <w:tc>
          <w:tcPr>
            <w:noWrap/>
          </w:tcPr>
          <w:p>
            <w:pPr/>
            <w:r>
              <w:rPr/>
              <w:t xml:space="preserve">2</w:t>
            </w:r>
          </w:p>
        </w:tc>
      </w:tr>
      <w:tr>
        <w:trPr/>
        <w:tc>
          <w:tcPr>
            <w:noWrap/>
          </w:tcPr>
          <w:p>
            <w:pPr/>
            <w:r>
              <w:rPr/>
              <w:t xml:space="preserve">Öğretim düzeyi</w:t>
            </w:r>
          </w:p>
        </w:tc>
        <w:tc>
          <w:tcPr>
            <w:noWrap/>
          </w:tcPr>
          <w:p>
            <w:pPr/>
            <w:r>
              <w:rPr/>
              <w:t xml:space="preserve">Ön Lisans</w:t>
            </w:r>
          </w:p>
        </w:tc>
      </w:tr>
      <w:tr>
        <w:trPr/>
        <w:tc>
          <w:tcPr>
            <w:noWrap/>
          </w:tcPr>
          <w:p>
            <w:pPr/>
            <w:r>
              <w:rPr/>
              <w:t xml:space="preserve">Öğretim türü</w:t>
            </w:r>
          </w:p>
        </w:tc>
        <w:tc>
          <w:tcPr>
            <w:noWrap/>
          </w:tcPr>
          <w:p>
            <w:pPr/>
            <w:r>
              <w:rPr/>
              <w:t xml:space="preserve">Birinci Öğretim</w:t>
            </w:r>
          </w:p>
        </w:tc>
      </w:tr>
      <w:tr>
        <w:trPr/>
        <w:tc>
          <w:tcPr>
            <w:noWrap/>
          </w:tcPr>
          <w:p>
            <w:pPr/>
            <w:r>
              <w:rPr/>
              <w:t xml:space="preserve">Öğretim elemanı</w:t>
            </w:r>
          </w:p>
        </w:tc>
        <w:tc>
          <w:tcPr>
            <w:noWrap/>
          </w:tcPr>
          <w:p>
            <w:pPr/>
            <w:r>
              <w:rPr/>
              <w:t xml:space="preserve">Öğr. Gör. Pınar Kaya</w:t>
            </w:r>
          </w:p>
        </w:tc>
      </w:tr>
      <w:tr>
        <w:trPr/>
        <w:tc>
          <w:tcPr>
            <w:noWrap/>
          </w:tcPr>
          <w:p>
            <w:pPr/>
            <w:r>
              <w:rPr/>
              <w:t xml:space="preserve">Ön koşul dersleri</w:t>
            </w:r>
          </w:p>
        </w:tc>
        <w:tc>
          <w:tcPr>
            <w:noWrap/>
          </w:tcPr>
          <w:p>
            <w:pPr/>
            <w:r>
              <w:rPr/>
              <w:t xml:space="preserve">Dersin ön koşulu yoktur.</w:t>
            </w:r>
          </w:p>
        </w:tc>
      </w:tr>
      <w:tr>
        <w:trPr/>
        <w:tc>
          <w:tcPr>
            <w:noWrap/>
          </w:tcPr>
          <w:p>
            <w:pPr/>
            <w:r>
              <w:rPr/>
              <w:t xml:space="preserve">Staj durumu</w:t>
            </w:r>
          </w:p>
        </w:tc>
        <w:tc>
          <w:tcPr>
            <w:noWrap/>
          </w:tcPr>
          <w:p>
            <w:pPr/>
            <w:r>
              <w:rPr/>
              <w:t xml:space="preserve">Staj gerekmiyor.</w:t>
            </w:r>
          </w:p>
        </w:tc>
      </w:tr>
    </w:tbl>
    <w:p>
      <w:pPr>
        <w:pStyle w:val="Heading2"/>
      </w:pPr>
      <w:bookmarkStart w:id="2" w:name="_Toc2"/>
      <w:r>
        <w:t>Dersin amacı</w:t>
      </w:r>
      <w:bookmarkEnd w:id="2"/>
    </w:p>
    <w:p>
      <w:pPr>
        <w:spacing w:after="80"/>
      </w:pPr>
      <w:r>
        <w:rPr/>
        <w:t xml:space="preserve">Bu ders öğrencilerin kendi alanlarındaki terminolojiyi baz alarak dil becerilerini geliştirmeyi amaçlar. İletişimsel (Communicative) yöntem kullanılmaktadır.</w:t>
      </w:r>
    </w:p>
    <w:p>
      <w:pPr>
        <w:pStyle w:val="Heading2"/>
      </w:pPr>
      <w:bookmarkStart w:id="3" w:name="_Toc3"/>
      <w:r>
        <w:t>Dersin içeriği</w:t>
      </w:r>
      <w:bookmarkEnd w:id="3"/>
    </w:p>
    <w:p>
      <w:pPr>
        <w:spacing w:after="80"/>
      </w:pPr>
      <w:r>
        <w:rPr/>
        <w:t xml:space="preserve">Haftada 3 saat olan bu ders, öğrencilerin kariyer hedeflerini gerçekleştirmek için ihtiyaç duydukları dil becerilerini geliştirmeyi hedefler. Bu amaçla, ders öğrencilere gerçek hayat senaryolarında farkındalık yaratmak için ve öğrencilerin pratik yapmaları için temel kavramlar ve örnek fırsatlar sunmaktadır. Ayrıca, öğrencilere kendi uzmanlık alanlarında çalışmak için ihtiyaç duydukları dil becerilerini pratik yapma olanağı sağlar.</w:t>
      </w:r>
    </w:p>
    <w:p>
      <w:pPr>
        <w:pStyle w:val="Heading2"/>
      </w:pPr>
      <w:bookmarkStart w:id="4" w:name="_Toc4"/>
      <w:r>
        <w:t>Kaynaklar</w:t>
      </w:r>
      <w:bookmarkEnd w:id="4"/>
    </w:p>
    <w:p>
      <w:pPr>
        <w:spacing w:after="80"/>
      </w:pPr>
      <w:r>
        <w:rPr/>
        <w:t xml:space="preserve">Exlplore 1 - Blackswan Publishing</w:t>
      </w:r>
    </w:p>
    <w:p>
      <w:pPr>
        <w:pStyle w:val="Heading2"/>
      </w:pPr>
      <w:bookmarkStart w:id="5" w:name="_Toc5"/>
      <w:r>
        <w:t>Önerilen diğer hususlar</w:t>
      </w:r>
      <w:bookmarkEnd w:id="5"/>
    </w:p>
    <w:p>
      <w:pPr>
        <w:spacing w:after="80"/>
      </w:pPr>
      <w:r>
        <w:rPr/>
        <w:t xml:space="preserve">Öğrenciler dersi zamanında takip edip günlük olarak pratik yaptıklarında dil becerilerini geliştirebilirler.</w:t>
      </w:r>
    </w:p>
    <w:p>
      <w:pPr>
        <w:pStyle w:val="Heading2"/>
      </w:pPr>
      <w:bookmarkStart w:id="6" w:name="_Toc6"/>
      <w:r>
        <w:t>Öğrenme çıktıları</w:t>
      </w:r>
      <w:bookmarkEnd w:id="6"/>
    </w:p>
    <w:p>
      <w:pPr>
        <w:spacing w:after="60"/>
      </w:pPr>
      <w:r>
        <w:rPr/>
        <w:t xml:space="preserve">1. Yeni kelime bilgisini gözden geçirmek için kişisel stratejiler geliştirmek</w:t>
      </w:r>
    </w:p>
    <w:p>
      <w:pPr>
        <w:spacing w:after="60"/>
      </w:pPr>
      <w:r>
        <w:rPr/>
        <w:t xml:space="preserve">2. Kelimeleri çeşitli akademik konuşma, dinleme, yazma ve okuma alıştırmalarında kullanmak</w:t>
      </w:r>
    </w:p>
    <w:p>
      <w:pPr>
        <w:spacing w:after="60"/>
      </w:pPr>
      <w:r>
        <w:rPr/>
        <w:t xml:space="preserve">3. Öğrencilerin kendi uzmanlık alanlarında gerekli olan çeşitli konuları tartışmak</w:t>
      </w:r>
    </w:p>
    <w:p>
      <w:pPr>
        <w:spacing w:after="60"/>
      </w:pPr>
      <w:r>
        <w:rPr/>
        <w:t xml:space="preserve">4. Akademik konuşma, dinleme, yazma ve okuma becerilerini geliştirmek</w:t>
      </w:r>
    </w:p>
    <w:p>
      <w:pPr>
        <w:spacing w:after="60"/>
      </w:pPr>
      <w:r>
        <w:rPr/>
        <w:t xml:space="preserve">5. Çeşitli okuma metinlerini değerlendirmek</w:t>
      </w:r>
    </w:p>
    <w:p>
      <w:pPr>
        <w:spacing w:after="60"/>
      </w:pPr>
      <w:r>
        <w:rPr/>
        <w:t xml:space="preserve">6. İlgili terminolojiyi ayırt etmek</w:t>
      </w:r>
    </w:p>
    <w:p>
      <w:pPr>
        <w:pStyle w:val="Heading2"/>
      </w:pPr>
      <w:bookmarkStart w:id="7" w:name="_Toc7"/>
      <w:r>
        <w:t>Haftalık konular</w:t>
      </w:r>
      <w:bookmarkEnd w:id="7"/>
    </w:p>
    <w:tbl>
      <w:tblGrid>
        <w:gridCol/>
        <w:gridCol/>
      </w:tblGrid>
      <w:tblPr>
        <w:tblStyle w:val="grid"/>
      </w:tblPr>
      <w:tr>
        <w:trPr/>
        <w:tc>
          <w:tcPr>
            <w:noWrap/>
          </w:tcPr>
          <w:p>
            <w:pPr/>
            <w:r>
              <w:rPr>
                <w:b w:val="1"/>
                <w:bCs w:val="1"/>
              </w:rPr>
              <w:t xml:space="preserve">Hafta</w:t>
            </w:r>
          </w:p>
        </w:tc>
        <w:tc>
          <w:tcPr>
            <w:noWrap/>
          </w:tcPr>
          <w:p>
            <w:pPr/>
            <w:r>
              <w:rPr>
                <w:b w:val="1"/>
                <w:bCs w:val="1"/>
              </w:rPr>
              <w:t xml:space="preserve">Konu</w:t>
            </w:r>
          </w:p>
        </w:tc>
      </w:tr>
      <w:tr>
        <w:trPr/>
        <w:tc>
          <w:tcPr>
            <w:noWrap/>
          </w:tcPr>
          <w:p>
            <w:pPr/>
            <w:r>
              <w:rPr/>
              <w:t xml:space="preserve">1</w:t>
            </w:r>
          </w:p>
        </w:tc>
        <w:tc>
          <w:tcPr>
            <w:noWrap/>
          </w:tcPr>
          <w:p>
            <w:pPr/>
            <w:r>
              <w:rPr/>
              <w:t xml:space="preserve">Introductory Lesson, Explaining the Syllabus</w:t>
            </w:r>
          </w:p>
        </w:tc>
      </w:tr>
      <w:tr>
        <w:trPr/>
        <w:tc>
          <w:tcPr>
            <w:noWrap/>
          </w:tcPr>
          <w:p>
            <w:pPr/>
            <w:r>
              <w:rPr/>
              <w:t xml:space="preserve">2</w:t>
            </w:r>
          </w:p>
        </w:tc>
        <w:tc>
          <w:tcPr>
            <w:noWrap/>
          </w:tcPr>
          <w:p>
            <w:pPr/>
            <w:r>
              <w:rPr/>
              <w:t xml:space="preserve">Unit 3A (MOVIES)</w:t>
            </w:r>
          </w:p>
        </w:tc>
      </w:tr>
      <w:tr>
        <w:trPr/>
        <w:tc>
          <w:tcPr>
            <w:noWrap/>
          </w:tcPr>
          <w:p>
            <w:pPr/>
            <w:r>
              <w:rPr/>
              <w:t xml:space="preserve">3</w:t>
            </w:r>
          </w:p>
        </w:tc>
        <w:tc>
          <w:tcPr>
            <w:noWrap/>
          </w:tcPr>
          <w:p>
            <w:pPr/>
            <w:r>
              <w:rPr/>
              <w:t xml:space="preserve">Unit 3B (IT'S NOT MY CUP OF TEA)</w:t>
            </w:r>
          </w:p>
        </w:tc>
      </w:tr>
      <w:tr>
        <w:trPr/>
        <w:tc>
          <w:tcPr>
            <w:noWrap/>
          </w:tcPr>
          <w:p>
            <w:pPr/>
            <w:r>
              <w:rPr/>
              <w:t xml:space="preserve">4</w:t>
            </w:r>
          </w:p>
        </w:tc>
        <w:tc>
          <w:tcPr>
            <w:noWrap/>
          </w:tcPr>
          <w:p>
            <w:pPr/>
            <w:r>
              <w:rPr/>
              <w:t xml:space="preserve">Unit 3C (WHEN IS THE ACTIVITY)</w:t>
            </w:r>
          </w:p>
        </w:tc>
      </w:tr>
      <w:tr>
        <w:trPr/>
        <w:tc>
          <w:tcPr>
            <w:noWrap/>
          </w:tcPr>
          <w:p>
            <w:pPr/>
            <w:r>
              <w:rPr/>
              <w:t xml:space="preserve">5</w:t>
            </w:r>
          </w:p>
        </w:tc>
        <w:tc>
          <w:tcPr>
            <w:noWrap/>
          </w:tcPr>
          <w:p>
            <w:pPr/>
            <w:r>
              <w:rPr/>
              <w:t xml:space="preserve">Unit 3D (DAILY ENGLISH)</w:t>
            </w:r>
          </w:p>
        </w:tc>
      </w:tr>
      <w:tr>
        <w:trPr/>
        <w:tc>
          <w:tcPr>
            <w:noWrap/>
          </w:tcPr>
          <w:p>
            <w:pPr/>
            <w:r>
              <w:rPr/>
              <w:t xml:space="preserve">6</w:t>
            </w:r>
          </w:p>
        </w:tc>
        <w:tc>
          <w:tcPr>
            <w:noWrap/>
          </w:tcPr>
          <w:p>
            <w:pPr/>
            <w:r>
              <w:rPr/>
              <w:t xml:space="preserve">Unit 3E-3F (VOCABULARY - GRAMMAR)</w:t>
            </w:r>
          </w:p>
        </w:tc>
      </w:tr>
      <w:tr>
        <w:trPr/>
        <w:tc>
          <w:tcPr>
            <w:noWrap/>
          </w:tcPr>
          <w:p>
            <w:pPr/>
            <w:r>
              <w:rPr/>
              <w:t xml:space="preserve">7</w:t>
            </w:r>
          </w:p>
        </w:tc>
        <w:tc>
          <w:tcPr>
            <w:noWrap/>
          </w:tcPr>
          <w:p>
            <w:pPr/>
            <w:r>
              <w:rPr/>
              <w:t xml:space="preserve">REVISION</w:t>
            </w:r>
          </w:p>
        </w:tc>
      </w:tr>
      <w:tr>
        <w:trPr/>
        <w:tc>
          <w:tcPr>
            <w:noWrap/>
          </w:tcPr>
          <w:p>
            <w:pPr/>
            <w:r>
              <w:rPr/>
              <w:t xml:space="preserve">8</w:t>
            </w:r>
          </w:p>
        </w:tc>
        <w:tc>
          <w:tcPr>
            <w:noWrap/>
          </w:tcPr>
          <w:p>
            <w:pPr/>
            <w:r>
              <w:rPr/>
              <w:t xml:space="preserve">Exam</w:t>
            </w:r>
          </w:p>
        </w:tc>
      </w:tr>
      <w:tr>
        <w:trPr/>
        <w:tc>
          <w:tcPr>
            <w:noWrap/>
          </w:tcPr>
          <w:p>
            <w:pPr/>
            <w:r>
              <w:rPr/>
              <w:t xml:space="preserve">9</w:t>
            </w:r>
          </w:p>
        </w:tc>
        <w:tc>
          <w:tcPr>
            <w:noWrap/>
          </w:tcPr>
          <w:p>
            <w:pPr/>
            <w:r>
              <w:rPr/>
              <w:t xml:space="preserve">Exam Feedback</w:t>
            </w:r>
          </w:p>
        </w:tc>
      </w:tr>
      <w:tr>
        <w:trPr/>
        <w:tc>
          <w:tcPr>
            <w:noWrap/>
          </w:tcPr>
          <w:p>
            <w:pPr/>
            <w:r>
              <w:rPr/>
              <w:t xml:space="preserve">10</w:t>
            </w:r>
          </w:p>
        </w:tc>
        <w:tc>
          <w:tcPr>
            <w:noWrap/>
          </w:tcPr>
          <w:p>
            <w:pPr/>
            <w:r>
              <w:rPr/>
              <w:t xml:space="preserve">Unit 4A (A TYPICAL DAY OF AN AMISH)</w:t>
            </w:r>
          </w:p>
        </w:tc>
      </w:tr>
      <w:tr>
        <w:trPr/>
        <w:tc>
          <w:tcPr>
            <w:noWrap/>
          </w:tcPr>
          <w:p>
            <w:pPr/>
            <w:r>
              <w:rPr/>
              <w:t xml:space="preserve">11</w:t>
            </w:r>
          </w:p>
        </w:tc>
        <w:tc>
          <w:tcPr>
            <w:noWrap/>
          </w:tcPr>
          <w:p>
            <w:pPr/>
            <w:r>
              <w:rPr/>
              <w:t xml:space="preserve">Unit 4B (SOME PEOPLE DON'T DO)</w:t>
            </w:r>
          </w:p>
        </w:tc>
      </w:tr>
      <w:tr>
        <w:trPr/>
        <w:tc>
          <w:tcPr>
            <w:noWrap/>
          </w:tcPr>
          <w:p>
            <w:pPr/>
            <w:r>
              <w:rPr/>
              <w:t xml:space="preserve">12</w:t>
            </w:r>
          </w:p>
        </w:tc>
        <w:tc>
          <w:tcPr>
            <w:noWrap/>
          </w:tcPr>
          <w:p>
            <w:pPr/>
            <w:r>
              <w:rPr/>
              <w:t xml:space="preserve">Unit 4C  (NATURAL DISASTERS)</w:t>
            </w:r>
          </w:p>
        </w:tc>
      </w:tr>
      <w:tr>
        <w:trPr/>
        <w:tc>
          <w:tcPr>
            <w:noWrap/>
          </w:tcPr>
          <w:p>
            <w:pPr/>
            <w:r>
              <w:rPr/>
              <w:t xml:space="preserve">13</w:t>
            </w:r>
          </w:p>
        </w:tc>
        <w:tc>
          <w:tcPr>
            <w:noWrap/>
          </w:tcPr>
          <w:p>
            <w:pPr/>
            <w:r>
              <w:rPr/>
              <w:t xml:space="preserve">Unit 4D (DAILY ENGLISH)</w:t>
            </w:r>
          </w:p>
        </w:tc>
      </w:tr>
      <w:tr>
        <w:trPr/>
        <w:tc>
          <w:tcPr>
            <w:noWrap/>
          </w:tcPr>
          <w:p>
            <w:pPr/>
            <w:r>
              <w:rPr/>
              <w:t xml:space="preserve">14</w:t>
            </w:r>
          </w:p>
        </w:tc>
        <w:tc>
          <w:tcPr>
            <w:noWrap/>
          </w:tcPr>
          <w:p>
            <w:pPr/>
            <w:r>
              <w:rPr/>
              <w:t xml:space="preserve">Unit 4E-4F (GRAMMAR AND VOCABULARY)</w:t>
            </w:r>
          </w:p>
        </w:tc>
      </w:tr>
    </w:tbl>
    <w:p>
      <w:pPr>
        <w:pStyle w:val="Heading2"/>
      </w:pPr>
      <w:bookmarkStart w:id="8" w:name="_Toc8"/>
      <w:r>
        <w:t>Yarıyıl (Yıl) İçi Etkinlikleri</w:t>
      </w:r>
      <w:bookmarkEnd w:id="8"/>
    </w:p>
    <w:tbl>
      <w:tblGrid>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Yüzde</w:t>
            </w:r>
          </w:p>
        </w:tc>
      </w:tr>
      <w:tr>
        <w:trPr/>
        <w:tc>
          <w:tcPr>
            <w:noWrap/>
          </w:tcPr>
          <w:p>
            <w:pPr/>
            <w:r>
              <w:rPr/>
              <w:t xml:space="preserve">Ara Sınav</w:t>
            </w:r>
          </w:p>
        </w:tc>
        <w:tc>
          <w:tcPr>
            <w:noWrap/>
          </w:tcPr>
          <w:p>
            <w:pPr/>
            <w:r>
              <w:rPr/>
              <w:t xml:space="preserve">1</w:t>
            </w:r>
          </w:p>
        </w:tc>
        <w:tc>
          <w:tcPr>
            <w:noWrap/>
          </w:tcPr>
          <w:p>
            <w:pPr/>
            <w:r>
              <w:rPr/>
              <w:t xml:space="preserve">%100</w:t>
            </w:r>
          </w:p>
        </w:tc>
      </w:tr>
    </w:tbl>
    <w:p>
      <w:pPr>
        <w:pStyle w:val="Heading2"/>
      </w:pPr>
      <w:bookmarkStart w:id="9" w:name="_Toc9"/>
      <w:r>
        <w:t>Yarıyıl (Yıl) Sonu Etkinlikleri</w:t>
      </w:r>
      <w:bookmarkEnd w:id="9"/>
    </w:p>
    <w:tbl>
      <w:tblGrid>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Yüzde</w:t>
            </w:r>
          </w:p>
        </w:tc>
      </w:tr>
      <w:tr>
        <w:trPr/>
        <w:tc>
          <w:tcPr>
            <w:noWrap/>
          </w:tcPr>
          <w:p>
            <w:pPr/>
            <w:r>
              <w:rPr/>
              <w:t xml:space="preserve">Yarıyıl Sonu Sınavı</w:t>
            </w:r>
          </w:p>
        </w:tc>
        <w:tc>
          <w:tcPr>
            <w:noWrap/>
          </w:tcPr>
          <w:p>
            <w:pPr/>
            <w:r>
              <w:rPr/>
              <w:t xml:space="preserve">1</w:t>
            </w:r>
          </w:p>
        </w:tc>
        <w:tc>
          <w:tcPr>
            <w:noWrap/>
          </w:tcPr>
          <w:p>
            <w:pPr/>
            <w:r>
              <w:rPr/>
              <w:t xml:space="preserve">%100</w:t>
            </w:r>
          </w:p>
        </w:tc>
      </w:tr>
    </w:tbl>
    <w:p>
      <w:pPr>
        <w:pStyle w:val="Heading2"/>
      </w:pPr>
      <w:bookmarkStart w:id="10" w:name="_Toc10"/>
      <w:r>
        <w:t>Yarıyıl(yıl) içi etkinliklerin ve yarıyıl(yıl) sonu sınavının başarı notuna katkısı</w:t>
      </w:r>
      <w:bookmarkEnd w:id="10"/>
    </w:p>
    <w:tbl>
      <w:tblGrid>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Yüzde</w:t>
            </w:r>
          </w:p>
        </w:tc>
      </w:tr>
      <w:tr>
        <w:trPr/>
        <w:tc>
          <w:tcPr>
            <w:noWrap/>
          </w:tcPr>
          <w:p>
            <w:pPr/>
            <w:r>
              <w:rPr/>
              <w:t xml:space="preserve">Yarıyıl (Yıl) İçi Etkinlikleri</w:t>
            </w:r>
          </w:p>
        </w:tc>
        <w:tc>
          <w:tcPr>
            <w:noWrap/>
          </w:tcPr>
          <w:p>
            <w:pPr/>
            <w:r>
              <w:rPr/>
              <w:t xml:space="preserve">0</w:t>
            </w:r>
          </w:p>
        </w:tc>
        <w:tc>
          <w:tcPr>
            <w:noWrap/>
          </w:tcPr>
          <w:p>
            <w:pPr/>
            <w:r>
              <w:rPr/>
              <w:t xml:space="preserve">%40</w:t>
            </w:r>
          </w:p>
        </w:tc>
      </w:tr>
      <w:tr>
        <w:trPr/>
        <w:tc>
          <w:tcPr>
            <w:noWrap/>
          </w:tcPr>
          <w:p>
            <w:pPr/>
            <w:r>
              <w:rPr/>
              <w:t xml:space="preserve">Yarıyıl (Yıl) Sonu Etkinlikleri</w:t>
            </w:r>
          </w:p>
        </w:tc>
        <w:tc>
          <w:tcPr>
            <w:noWrap/>
          </w:tcPr>
          <w:p>
            <w:pPr/>
            <w:r>
              <w:rPr/>
              <w:t xml:space="preserve">0</w:t>
            </w:r>
          </w:p>
        </w:tc>
        <w:tc>
          <w:tcPr>
            <w:noWrap/>
          </w:tcPr>
          <w:p>
            <w:pPr/>
            <w:r>
              <w:rPr/>
              <w:t xml:space="preserve">%60</w:t>
            </w:r>
          </w:p>
        </w:tc>
      </w:tr>
    </w:tbl>
    <w:p>
      <w:pPr>
        <w:pStyle w:val="Heading2"/>
      </w:pPr>
      <w:bookmarkStart w:id="11" w:name="_Toc11"/>
      <w:r>
        <w:t>AKTS iş yükü</w:t>
      </w:r>
      <w:bookmarkEnd w:id="11"/>
    </w:p>
    <w:tbl>
      <w:tblGrid>
        <w:gridCol/>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Süre (saat)</w:t>
            </w:r>
          </w:p>
        </w:tc>
        <w:tc>
          <w:tcPr>
            <w:noWrap/>
          </w:tcPr>
          <w:p>
            <w:pPr/>
            <w:r>
              <w:rPr>
                <w:b w:val="1"/>
                <w:bCs w:val="1"/>
              </w:rPr>
              <w:t xml:space="preserve">Toplam (saat)</w:t>
            </w:r>
          </w:p>
        </w:tc>
      </w:tr>
      <w:tr>
        <w:trPr/>
        <w:tc>
          <w:tcPr>
            <w:noWrap/>
          </w:tcPr>
          <w:p>
            <w:pPr/>
            <w:r>
              <w:rPr/>
              <w:t xml:space="preserve">Ara Sınav</w:t>
            </w:r>
          </w:p>
        </w:tc>
        <w:tc>
          <w:tcPr>
            <w:noWrap/>
          </w:tcPr>
          <w:p>
            <w:pPr/>
            <w:r>
              <w:rPr/>
              <w:t xml:space="preserve">1</w:t>
            </w:r>
          </w:p>
        </w:tc>
        <w:tc>
          <w:tcPr>
            <w:noWrap/>
          </w:tcPr>
          <w:p>
            <w:pPr/>
            <w:r>
              <w:rPr/>
              <w:t xml:space="preserve">1</w:t>
            </w:r>
          </w:p>
        </w:tc>
        <w:tc>
          <w:tcPr>
            <w:noWrap/>
          </w:tcPr>
          <w:p>
            <w:pPr/>
            <w:r>
              <w:rPr/>
              <w:t xml:space="preserve">1</w:t>
            </w:r>
          </w:p>
        </w:tc>
      </w:tr>
      <w:tr>
        <w:trPr/>
        <w:tc>
          <w:tcPr>
            <w:noWrap/>
          </w:tcPr>
          <w:p>
            <w:pPr/>
            <w:r>
              <w:rPr/>
              <w:t xml:space="preserve">Ara Sınav İçin Bireysel Çalışma</w:t>
            </w:r>
          </w:p>
        </w:tc>
        <w:tc>
          <w:tcPr>
            <w:noWrap/>
          </w:tcPr>
          <w:p>
            <w:pPr/>
            <w:r>
              <w:rPr/>
              <w:t xml:space="preserve">1</w:t>
            </w:r>
          </w:p>
        </w:tc>
        <w:tc>
          <w:tcPr>
            <w:noWrap/>
          </w:tcPr>
          <w:p>
            <w:pPr/>
            <w:r>
              <w:rPr/>
              <w:t xml:space="preserve">14</w:t>
            </w:r>
          </w:p>
        </w:tc>
        <w:tc>
          <w:tcPr>
            <w:noWrap/>
          </w:tcPr>
          <w:p>
            <w:pPr/>
            <w:r>
              <w:rPr/>
              <w:t xml:space="preserve">14</w:t>
            </w:r>
          </w:p>
        </w:tc>
      </w:tr>
      <w:tr>
        <w:trPr/>
        <w:tc>
          <w:tcPr>
            <w:noWrap/>
          </w:tcPr>
          <w:p>
            <w:pPr/>
            <w:r>
              <w:rPr/>
              <w:t xml:space="preserve">Derse Katılım</w:t>
            </w:r>
          </w:p>
        </w:tc>
        <w:tc>
          <w:tcPr>
            <w:noWrap/>
          </w:tcPr>
          <w:p>
            <w:pPr/>
            <w:r>
              <w:rPr/>
              <w:t xml:space="preserve">14</w:t>
            </w:r>
          </w:p>
        </w:tc>
        <w:tc>
          <w:tcPr>
            <w:noWrap/>
          </w:tcPr>
          <w:p>
            <w:pPr/>
            <w:r>
              <w:rPr/>
              <w:t xml:space="preserve">2</w:t>
            </w:r>
          </w:p>
        </w:tc>
        <w:tc>
          <w:tcPr>
            <w:noWrap/>
          </w:tcPr>
          <w:p>
            <w:pPr/>
            <w:r>
              <w:rPr/>
              <w:t xml:space="preserve">28</w:t>
            </w:r>
          </w:p>
        </w:tc>
      </w:tr>
      <w:tr>
        <w:trPr/>
        <w:tc>
          <w:tcPr>
            <w:noWrap/>
          </w:tcPr>
          <w:p>
            <w:pPr/>
            <w:r>
              <w:rPr/>
              <w:t xml:space="preserve">Final Sınavı</w:t>
            </w:r>
          </w:p>
        </w:tc>
        <w:tc>
          <w:tcPr>
            <w:noWrap/>
          </w:tcPr>
          <w:p>
            <w:pPr/>
            <w:r>
              <w:rPr/>
              <w:t xml:space="preserve">1</w:t>
            </w:r>
          </w:p>
        </w:tc>
        <w:tc>
          <w:tcPr>
            <w:noWrap/>
          </w:tcPr>
          <w:p>
            <w:pPr/>
            <w:r>
              <w:rPr/>
              <w:t xml:space="preserve">1</w:t>
            </w:r>
          </w:p>
        </w:tc>
        <w:tc>
          <w:tcPr>
            <w:noWrap/>
          </w:tcPr>
          <w:p>
            <w:pPr/>
            <w:r>
              <w:rPr/>
              <w:t xml:space="preserve">1</w:t>
            </w:r>
          </w:p>
        </w:tc>
      </w:tr>
      <w:tr>
        <w:trPr/>
        <w:tc>
          <w:tcPr>
            <w:noWrap/>
          </w:tcPr>
          <w:p>
            <w:pPr/>
            <w:r>
              <w:rPr/>
              <w:t xml:space="preserve">Final Sınavı içiin Bireysel Çalışma</w:t>
            </w:r>
          </w:p>
        </w:tc>
        <w:tc>
          <w:tcPr>
            <w:noWrap/>
          </w:tcPr>
          <w:p>
            <w:pPr/>
            <w:r>
              <w:rPr/>
              <w:t xml:space="preserve">1</w:t>
            </w:r>
          </w:p>
        </w:tc>
        <w:tc>
          <w:tcPr>
            <w:noWrap/>
          </w:tcPr>
          <w:p>
            <w:pPr/>
            <w:r>
              <w:rPr/>
              <w:t xml:space="preserve">20</w:t>
            </w:r>
          </w:p>
        </w:tc>
        <w:tc>
          <w:tcPr>
            <w:noWrap/>
          </w:tcPr>
          <w:p>
            <w:pPr/>
            <w:r>
              <w:rPr/>
              <w:t xml:space="preserve">20</w:t>
            </w:r>
          </w:p>
        </w:tc>
      </w:tr>
    </w:tbl>
    <w:p>
      <w:pPr>
        <w:spacing w:before="80"/>
      </w:pPr>
      <w:r>
        <w:rPr>
          <w:b w:val="1"/>
          <w:bCs w:val="1"/>
        </w:rPr>
        <w:t xml:space="preserve">Toplam iş yükü: 64 saat · 2.13 AKTS</w:t>
      </w:r>
    </w:p>
    <w:sectPr>
      <w:pgSz w:orient="portrait" w:w="11905.511811023622" w:h="16837.79527559055"/>
      <w:pgMar w:top="900" w:right="900" w:bottom="900" w:left="9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12294A"/>
      <w:sz w:val="36"/>
      <w:szCs w:val="36"/>
      <w:b w:val="1"/>
      <w:bCs w:val="1"/>
    </w:rPr>
  </w:style>
  <w:style w:type="paragraph" w:styleId="Heading2">
    <w:link w:val="Heading2Char"/>
    <w:name w:val="heading 2"/>
    <w:basedOn w:val="Normal"/>
    <w:pPr>
      <w:spacing w:before="240" w:after="100"/>
    </w:pPr>
    <w:rPr>
      <w:color w:val="12294A"/>
      <w:sz w:val="26"/>
      <w:szCs w:val="26"/>
      <w:b w:val="1"/>
      <w:bCs w:val="1"/>
    </w:rPr>
  </w:style>
  <w:style w:type="table" w:customStyle="1" w:styleId="grid">
    <w:name w:val="grid"/>
    <w:uiPriority w:val="99"/>
    <w:tblPr>
      <w:tblW w:w="0" w:type="auto"/>
      <w:tblLayout w:type="autofit"/>
      <w:tblCellMar>
        <w:top w:w="60" w:type="dxa"/>
        <w:left w:w="60" w:type="dxa"/>
        <w:right w:w="60" w:type="dxa"/>
        <w:bottom w:w="60" w:type="dxa"/>
      </w:tblCellMar>
      <w:tblBorders>
        <w:top w:val="single" w:sz="4" w:color="D9DEE6"/>
        <w:left w:val="single" w:sz="4" w:color="D9DEE6"/>
        <w:right w:val="single" w:sz="4" w:color="D9DEE6"/>
        <w:bottom w:val="single" w:sz="4" w:color="D9DEE6"/>
        <w:insideH w:val="single" w:sz="4" w:color="D9DEE6"/>
        <w:insideV w:val="single" w:sz="4" w:color="D9DEE6"/>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2026-10-26T21:15:00+03:00</dcterms:created>
  <dcterms:modified xsi:type="dcterms:W3CDTF">2026-10-26T21:15:00+03:00</dcterms:modified>
</cp:coreProperties>
</file>

<file path=docProps/custom.xml><?xml version="1.0" encoding="utf-8"?>
<Properties xmlns="http://schemas.openxmlformats.org/officeDocument/2006/custom-properties" xmlns:vt="http://schemas.openxmlformats.org/officeDocument/2006/docPropsVTypes"/>
</file>