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YETİŞKİN HASTALIKLARINDA BESLENME VE DİYETETİK UYGULAMALARI I</w:t>
      </w:r>
      <w:bookmarkEnd w:id="0"/>
    </w:p>
    <w:p>
      <w:pPr/>
      <w:r>
        <w:rPr>
          <w:color w:val="5B6577"/>
        </w:rPr>
        <w:t xml:space="preserve">BDY303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p>
      <w:pPr>
        <w:pStyle w:val="Heading2"/>
      </w:pPr>
      <w:bookmarkStart w:id="2" w:name="_Toc2"/>
      <w:r>
        <w:t>Yarıyıl (Yıl) İçi Etkinlikleri</w:t>
      </w:r>
      <w:bookmarkEnd w:id="2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3" w:name="_Toc3"/>
      <w:r>
        <w:t>Yarıyıl (Yıl) Sonu Etkinlikleri</w:t>
      </w:r>
      <w:bookmarkEnd w:id="3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%90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2026-10-26T17:20:57+03:00</dcterms:created>
  <dcterms:modified xsi:type="dcterms:W3CDTF">2026-10-26T17:20:57+03:00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